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4C" w:rsidRPr="00165482" w:rsidRDefault="001C320B" w:rsidP="00165482">
      <w:pPr>
        <w:autoSpaceDE w:val="0"/>
        <w:autoSpaceDN w:val="0"/>
        <w:adjustRightInd w:val="0"/>
        <w:spacing w:line="360" w:lineRule="auto"/>
        <w:jc w:val="center"/>
        <w:rPr>
          <w:rFonts w:ascii="Times New Roman" w:eastAsia="Calibri" w:hAnsi="Times New Roman"/>
          <w:b/>
          <w:lang w:eastAsia="en-US"/>
        </w:rPr>
      </w:pPr>
      <w:r w:rsidRPr="00165482">
        <w:rPr>
          <w:rFonts w:ascii="Times New Roman" w:eastAsia="Calibri" w:hAnsi="Times New Roman"/>
          <w:b/>
          <w:bCs/>
          <w:lang w:eastAsia="en-US"/>
        </w:rPr>
        <w:t>LEI MUNICIPAL Nº 2.76</w:t>
      </w:r>
      <w:r w:rsidR="00165482" w:rsidRPr="00165482">
        <w:rPr>
          <w:rFonts w:ascii="Times New Roman" w:eastAsia="Calibri" w:hAnsi="Times New Roman"/>
          <w:b/>
          <w:bCs/>
          <w:lang w:eastAsia="en-US"/>
        </w:rPr>
        <w:t>4</w:t>
      </w:r>
      <w:r w:rsidR="00135F4C" w:rsidRPr="00165482">
        <w:rPr>
          <w:rFonts w:ascii="Times New Roman" w:eastAsia="Calibri" w:hAnsi="Times New Roman"/>
          <w:b/>
          <w:bCs/>
          <w:lang w:eastAsia="en-US"/>
        </w:rPr>
        <w:t xml:space="preserve">, DE </w:t>
      </w:r>
      <w:r w:rsidR="00165482" w:rsidRPr="00165482">
        <w:rPr>
          <w:rFonts w:ascii="Times New Roman" w:eastAsia="Calibri" w:hAnsi="Times New Roman"/>
          <w:b/>
          <w:bCs/>
          <w:lang w:eastAsia="en-US"/>
        </w:rPr>
        <w:t>11</w:t>
      </w:r>
      <w:r w:rsidR="00135F4C" w:rsidRPr="00165482">
        <w:rPr>
          <w:rFonts w:ascii="Times New Roman" w:eastAsia="Calibri" w:hAnsi="Times New Roman"/>
          <w:b/>
          <w:bCs/>
          <w:lang w:eastAsia="en-US"/>
        </w:rPr>
        <w:t xml:space="preserve"> DE </w:t>
      </w:r>
      <w:r w:rsidR="00165482">
        <w:rPr>
          <w:rFonts w:ascii="Times New Roman" w:eastAsia="Calibri" w:hAnsi="Times New Roman"/>
          <w:b/>
          <w:bCs/>
          <w:lang w:eastAsia="en-US"/>
        </w:rPr>
        <w:t>SETEMBRO</w:t>
      </w:r>
      <w:r w:rsidR="004F52D8" w:rsidRPr="00165482">
        <w:rPr>
          <w:rFonts w:ascii="Times New Roman" w:eastAsia="Calibri" w:hAnsi="Times New Roman"/>
          <w:b/>
          <w:bCs/>
          <w:lang w:eastAsia="en-US"/>
        </w:rPr>
        <w:t xml:space="preserve"> </w:t>
      </w:r>
      <w:r w:rsidR="00135F4C" w:rsidRPr="00165482">
        <w:rPr>
          <w:rFonts w:ascii="Times New Roman" w:eastAsia="Calibri" w:hAnsi="Times New Roman"/>
          <w:b/>
          <w:bCs/>
          <w:lang w:eastAsia="en-US"/>
        </w:rPr>
        <w:t>DE 201</w:t>
      </w:r>
      <w:r w:rsidR="00CD613C" w:rsidRPr="00165482">
        <w:rPr>
          <w:rFonts w:ascii="Times New Roman" w:eastAsia="Calibri" w:hAnsi="Times New Roman"/>
          <w:b/>
          <w:bCs/>
          <w:lang w:eastAsia="en-US"/>
        </w:rPr>
        <w:t>9</w:t>
      </w:r>
      <w:r w:rsidR="00135F4C" w:rsidRPr="00165482">
        <w:rPr>
          <w:rFonts w:ascii="Times New Roman" w:eastAsia="Calibri" w:hAnsi="Times New Roman"/>
          <w:b/>
          <w:bCs/>
          <w:lang w:eastAsia="en-US"/>
        </w:rPr>
        <w:t>.</w:t>
      </w:r>
    </w:p>
    <w:p w:rsidR="00E93C5D" w:rsidRPr="00165482" w:rsidRDefault="00E93C5D" w:rsidP="00165482">
      <w:pPr>
        <w:autoSpaceDE w:val="0"/>
        <w:autoSpaceDN w:val="0"/>
        <w:adjustRightInd w:val="0"/>
        <w:spacing w:line="360" w:lineRule="auto"/>
        <w:jc w:val="center"/>
        <w:rPr>
          <w:rFonts w:ascii="Times New Roman" w:eastAsia="Calibri" w:hAnsi="Times New Roman"/>
          <w:lang w:eastAsia="en-US"/>
        </w:rPr>
      </w:pPr>
    </w:p>
    <w:p w:rsidR="00165482" w:rsidRDefault="00165482" w:rsidP="00165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36"/>
        <w:jc w:val="both"/>
        <w:rPr>
          <w:rFonts w:ascii="Times New Roman" w:hAnsi="Times New Roman"/>
          <w:b/>
        </w:rPr>
      </w:pPr>
    </w:p>
    <w:p w:rsidR="00113AE0" w:rsidRPr="00165482" w:rsidRDefault="00165482" w:rsidP="00165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36"/>
        <w:jc w:val="both"/>
        <w:rPr>
          <w:rFonts w:ascii="Times New Roman" w:hAnsi="Times New Roman"/>
        </w:rPr>
      </w:pPr>
      <w:r w:rsidRPr="00165482">
        <w:rPr>
          <w:rFonts w:ascii="Times New Roman" w:hAnsi="Times New Roman"/>
          <w:b/>
        </w:rPr>
        <w:t>Dispõe sobre as diretrizes orçamentárias para o exercício financeiro de 2020.</w:t>
      </w:r>
    </w:p>
    <w:p w:rsidR="00165482" w:rsidRPr="00165482" w:rsidRDefault="00165482" w:rsidP="00165482">
      <w:pPr>
        <w:spacing w:line="360" w:lineRule="auto"/>
        <w:ind w:firstLine="1418"/>
        <w:jc w:val="both"/>
        <w:rPr>
          <w:rFonts w:ascii="Times New Roman" w:hAnsi="Times New Roman"/>
          <w:b/>
          <w:bCs/>
        </w:rPr>
      </w:pPr>
    </w:p>
    <w:p w:rsidR="00165482" w:rsidRPr="00165482" w:rsidRDefault="00165482" w:rsidP="00165482">
      <w:pPr>
        <w:spacing w:line="360" w:lineRule="auto"/>
        <w:ind w:firstLine="1418"/>
        <w:jc w:val="both"/>
        <w:rPr>
          <w:rFonts w:ascii="Times New Roman" w:hAnsi="Times New Roman"/>
          <w:b/>
          <w:bCs/>
        </w:rPr>
      </w:pPr>
    </w:p>
    <w:p w:rsidR="00794DE3" w:rsidRPr="00165482" w:rsidRDefault="00165482" w:rsidP="00165482">
      <w:pPr>
        <w:spacing w:line="360" w:lineRule="auto"/>
        <w:ind w:firstLine="1418"/>
        <w:jc w:val="both"/>
        <w:rPr>
          <w:rFonts w:ascii="Times New Roman" w:hAnsi="Times New Roman"/>
        </w:rPr>
      </w:pPr>
      <w:r>
        <w:rPr>
          <w:rFonts w:ascii="Times New Roman" w:hAnsi="Times New Roman"/>
          <w:b/>
          <w:bCs/>
        </w:rPr>
        <w:t>CLEOMAR JOÃO SCANDOLARA</w:t>
      </w:r>
      <w:r w:rsidR="00794DE3" w:rsidRPr="00165482">
        <w:rPr>
          <w:rFonts w:ascii="Times New Roman" w:hAnsi="Times New Roman"/>
          <w:bCs/>
        </w:rPr>
        <w:t>, Prefeito Municipal</w:t>
      </w:r>
      <w:r w:rsidR="00BE3D1F" w:rsidRPr="00165482">
        <w:rPr>
          <w:rFonts w:ascii="Times New Roman" w:hAnsi="Times New Roman"/>
          <w:bCs/>
        </w:rPr>
        <w:t xml:space="preserve"> </w:t>
      </w:r>
      <w:r w:rsidR="00794DE3" w:rsidRPr="00165482">
        <w:rPr>
          <w:rFonts w:ascii="Times New Roman" w:hAnsi="Times New Roman"/>
          <w:bCs/>
        </w:rPr>
        <w:t>de São Valentim, Estado do Rio Grande do Sul, faço saber que a Câmara Municipal de Vereadores de São Valentim aprovou e eu sanciono a seguinte Lei</w:t>
      </w:r>
      <w:r w:rsidR="00794DE3" w:rsidRPr="00165482">
        <w:rPr>
          <w:rFonts w:ascii="Times New Roman" w:hAnsi="Times New Roman"/>
        </w:rPr>
        <w:t>:</w:t>
      </w:r>
    </w:p>
    <w:p w:rsidR="00113AE0" w:rsidRPr="00165482" w:rsidRDefault="00113AE0" w:rsidP="00165482">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b/>
        </w:rPr>
      </w:pPr>
    </w:p>
    <w:p w:rsidR="00165482" w:rsidRDefault="00165482" w:rsidP="00165482">
      <w:pPr>
        <w:pStyle w:val="Normal1"/>
        <w:spacing w:before="0" w:after="0"/>
        <w:ind w:firstLine="0"/>
        <w:jc w:val="center"/>
        <w:rPr>
          <w:rFonts w:ascii="Times New Roman" w:eastAsia="Arial" w:hAnsi="Times New Roman" w:cs="Times New Roman"/>
          <w:b/>
        </w:rPr>
      </w:pPr>
    </w:p>
    <w:p w:rsidR="00165482" w:rsidRPr="00165482" w:rsidRDefault="00165482" w:rsidP="00165482">
      <w:pPr>
        <w:pStyle w:val="Normal1"/>
        <w:spacing w:before="0" w:after="0"/>
        <w:ind w:firstLine="0"/>
        <w:jc w:val="center"/>
        <w:rPr>
          <w:rFonts w:ascii="Times New Roman" w:eastAsia="Arial" w:hAnsi="Times New Roman" w:cs="Times New Roman"/>
          <w:b/>
        </w:rPr>
      </w:pPr>
      <w:r w:rsidRPr="00165482">
        <w:rPr>
          <w:rFonts w:ascii="Times New Roman" w:eastAsia="Arial" w:hAnsi="Times New Roman" w:cs="Times New Roman"/>
          <w:b/>
        </w:rPr>
        <w:t>Capítulo I - Disposições Preliminares</w:t>
      </w:r>
    </w:p>
    <w:p w:rsid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1º Ficam estabelecidas, em cumprimento ao disposto no art. 165, § 2.º, da Constituição Federal, no art. 94 da Lei Orgânica do Município, e na Lei Complementar nº 101, de 04 de maio de 2000, </w:t>
      </w:r>
      <w:proofErr w:type="gramStart"/>
      <w:r w:rsidRPr="00165482">
        <w:rPr>
          <w:rFonts w:ascii="Times New Roman" w:eastAsia="Arial" w:hAnsi="Times New Roman" w:cs="Times New Roman"/>
        </w:rPr>
        <w:t>as diretrizes gerais</w:t>
      </w:r>
      <w:proofErr w:type="gramEnd"/>
      <w:r w:rsidRPr="00165482">
        <w:rPr>
          <w:rFonts w:ascii="Times New Roman" w:eastAsia="Arial" w:hAnsi="Times New Roman" w:cs="Times New Roman"/>
        </w:rPr>
        <w:t xml:space="preserve"> para elaboração do orçamento do Município, relativas ao exercício de 2020, compreendendo:</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as metas e riscos fiscais;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as prioridades e metas da administração municipal extraídas do Plano Plurianual para 2018/2021, Lei Municipal nº 2.684/2017 e Lei Municipal nº 2.685/2017.</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a organização e estrutura do orçamento;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as diretrizes para elaboração e execução do orçamento e suas alterações;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as disposições relativas à dívida pública municipal;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as disposições relativas às despesas do Município com pessoal e encargos sociais;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 - as disposições sobre alterações na legislação tributária;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VIII - as disposições gerais.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As diretrizes orçamentárias têm entre suas finalidades: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 - orientar a elaboração e a execução da Lei Orçamentária Anual para o alcance dos objetivos e das metas do Plano Plurianual – PPA;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 xml:space="preserve">II - ampliar a capacidade do Município de garantir o provimento de bens e serviços à população;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A elaboração, fiscalização e controle da lei orçamentária anual para o exercício de 2020, bem como a aprovação e execução do orçamento fiscal e da seguridade social do Município, além de serem orientados para viabilizar o alcance dos objetivos declarados no PPA, devem: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 - priorizar o equilíbrio entre receitas e despesas;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 - evidenciar a transparência da gestão fiscal, observando-se o princípio da publicidade e permitindo amplo acesso da sociedade aos dados do orçamento, inclusive por meio eletrônico;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atingir as metas relativas a receitas, despesas, resultados primário e nominal e montante da dívida pública estabelecidos no Anexo I – Metas Fiscais desta Lei.</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ind w:firstLine="0"/>
        <w:jc w:val="center"/>
        <w:rPr>
          <w:rFonts w:ascii="Times New Roman" w:eastAsia="Arial" w:hAnsi="Times New Roman" w:cs="Times New Roman"/>
          <w:b/>
        </w:rPr>
      </w:pPr>
      <w:bookmarkStart w:id="0" w:name="_1fob9te" w:colFirst="0" w:colLast="0"/>
      <w:bookmarkEnd w:id="0"/>
      <w:r w:rsidRPr="00165482">
        <w:rPr>
          <w:rFonts w:ascii="Times New Roman" w:eastAsia="Arial" w:hAnsi="Times New Roman" w:cs="Times New Roman"/>
          <w:b/>
        </w:rPr>
        <w:t>Capítulo II - Das Metas e Riscos Fiscais</w:t>
      </w:r>
    </w:p>
    <w:p w:rsid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As metas fiscais de receitas, despesas, resultado primário, nominal e montante da dívida pública para os exercícios de </w:t>
      </w:r>
      <w:proofErr w:type="gramStart"/>
      <w:r w:rsidRPr="00165482">
        <w:rPr>
          <w:rFonts w:ascii="Times New Roman" w:eastAsia="Arial" w:hAnsi="Times New Roman" w:cs="Times New Roman"/>
        </w:rPr>
        <w:t>2020 ,</w:t>
      </w:r>
      <w:proofErr w:type="gramEnd"/>
      <w:r w:rsidRPr="00165482">
        <w:rPr>
          <w:rFonts w:ascii="Times New Roman" w:eastAsia="Arial" w:hAnsi="Times New Roman" w:cs="Times New Roman"/>
        </w:rPr>
        <w:t>2021 e  2022, de que trata o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da Lei Complementar n° 101/2000, são as identificadas no </w:t>
      </w:r>
      <w:r w:rsidRPr="00165482">
        <w:rPr>
          <w:rFonts w:ascii="Times New Roman" w:eastAsia="Arial" w:hAnsi="Times New Roman" w:cs="Times New Roman"/>
          <w:b/>
        </w:rPr>
        <w:t xml:space="preserve">Anexo I, </w:t>
      </w:r>
      <w:r w:rsidRPr="00165482">
        <w:rPr>
          <w:rFonts w:ascii="Times New Roman" w:eastAsia="Arial" w:hAnsi="Times New Roman" w:cs="Times New Roman"/>
        </w:rPr>
        <w:t>composto dos seguintes demonstrativos: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das metas fiscais anuais de acordo com o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da LC nº 101/2000, acompanhado da memória e metodologia de cálculo;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da avaliação do cumprimento das metas fiscais relativas ao ano de 2017;</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das metas fiscais previstas para 2020, 2021 e 2022,</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comparadas com as fixadas nos exercícios de 2017, 2018 e 2019;</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da evolução do patrimônio líquido, conforme o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inciso III,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da origem e aplicação dos recursos obtidos com a alienação de ativos, em cumprimento ao disposto no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inciso III,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da estimativa e compensação da renúncia de receita, conforme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inciso V,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VII – da margem de expansão das despesas obrigatórias de caráter continuado, conforme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inciso V, da Lei Complementar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As metas fiscais estabelecidas no Anexo I desta Lei poderão ser ajustadas quando do encaminhamento do projeto de lei orçamentária anual, se verificadas alterações no comportamento das variáveis macroeconômicas e da execução das receitas e despesas, apresentadas em Anexo específico, e acompanhadas de justificativas técnicas e respectivas memórias e metodologias de cálculo.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Durante o exercício de 2020, a meta resultado primário prevista no demonstrativo referido no inciso I do caput, poderá ser reduzida até o montante que corresponder à frustração da arrecadação das receitas que são objeto de transferência constitucional, com base nos </w:t>
      </w:r>
      <w:proofErr w:type="spellStart"/>
      <w:r w:rsidRPr="00165482">
        <w:rPr>
          <w:rFonts w:ascii="Times New Roman" w:eastAsia="Arial" w:hAnsi="Times New Roman" w:cs="Times New Roman"/>
        </w:rPr>
        <w:t>arts</w:t>
      </w:r>
      <w:proofErr w:type="spellEnd"/>
      <w:r w:rsidRPr="00165482">
        <w:rPr>
          <w:rFonts w:ascii="Times New Roman" w:eastAsia="Arial" w:hAnsi="Times New Roman" w:cs="Times New Roman"/>
        </w:rPr>
        <w:t>. 158 e 159 da Constituição Federal.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Para os fins do disposto no § 2º deste artigo, considera-se frustração de arrecadação, a diferença a menor que for observada entre os valores que forem arrecadados em cada mês, em comparação com igual mês do ano anterior.</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Nas hipóteses dos §§ 1º e 2º deste artigo, e para efeitos de avaliação do cumprimento das metas fiscais na audiência pública prevista no art. 9</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da LC nº 101/2000, as receitas e despesas realizadas serão comparadas com as metas ajustadas.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Estão discriminados, no </w:t>
      </w:r>
      <w:r w:rsidRPr="00165482">
        <w:rPr>
          <w:rFonts w:ascii="Times New Roman" w:eastAsia="Arial" w:hAnsi="Times New Roman" w:cs="Times New Roman"/>
          <w:b/>
        </w:rPr>
        <w:t>Anexo II</w:t>
      </w:r>
      <w:r w:rsidRPr="00165482">
        <w:rPr>
          <w:rFonts w:ascii="Times New Roman" w:eastAsia="Arial" w:hAnsi="Times New Roman" w:cs="Times New Roman"/>
        </w:rPr>
        <w:t>, que integra esta Lei, os Riscos Fiscais, onde são avaliados os riscos orçamentários e os passivos contingentes capazes de afetar as contas públicas, em cumprimento ao 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vertAlign w:val="superscript"/>
        </w:rPr>
        <w:t xml:space="preserve"> </w:t>
      </w:r>
      <w:r w:rsidRPr="00165482">
        <w:rPr>
          <w:rFonts w:ascii="Times New Roman" w:eastAsia="Arial" w:hAnsi="Times New Roman" w:cs="Times New Roman"/>
        </w:rPr>
        <w:t xml:space="preserve">Consideram-se passivos contingentes e outros riscos fiscais possíveis obrigações a serem </w:t>
      </w:r>
      <w:proofErr w:type="gramStart"/>
      <w:r w:rsidRPr="00165482">
        <w:rPr>
          <w:rFonts w:ascii="Times New Roman" w:eastAsia="Arial" w:hAnsi="Times New Roman" w:cs="Times New Roman"/>
        </w:rPr>
        <w:t>cumpridas</w:t>
      </w:r>
      <w:proofErr w:type="gramEnd"/>
      <w:r w:rsidRPr="00165482">
        <w:rPr>
          <w:rFonts w:ascii="Times New Roman" w:eastAsia="Arial" w:hAnsi="Times New Roman" w:cs="Times New Roman"/>
        </w:rPr>
        <w:t xml:space="preserve"> em 2020, cuja existência será confirmada somente pela ocorrência ou não de um ou mais eventos futuros que não estejam totalmente sob controle do Município.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vertAlign w:val="superscript"/>
        </w:rPr>
        <w:t xml:space="preserve"> </w:t>
      </w:r>
      <w:r w:rsidRPr="00165482">
        <w:rPr>
          <w:rFonts w:ascii="Times New Roman" w:eastAsia="Arial" w:hAnsi="Times New Roman" w:cs="Times New Roman"/>
        </w:rPr>
        <w:t>Também são passivos contingentes, obrigações decorrentes de eventos passados, cuja liquidação em 2020 seja improvável ou cujo valor não possa ser tecnicamente estimado.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w:t>
      </w:r>
      <w:r w:rsidRPr="00165482">
        <w:rPr>
          <w:rFonts w:ascii="Times New Roman" w:eastAsia="Arial" w:hAnsi="Times New Roman" w:cs="Times New Roman"/>
          <w:u w:val="single"/>
          <w:vertAlign w:val="superscript"/>
        </w:rPr>
        <w:t>o</w:t>
      </w:r>
      <w:proofErr w:type="gramStart"/>
      <w:r w:rsidRPr="00165482">
        <w:rPr>
          <w:rFonts w:ascii="Times New Roman" w:eastAsia="Arial" w:hAnsi="Times New Roman" w:cs="Times New Roman"/>
          <w:vertAlign w:val="superscript"/>
        </w:rPr>
        <w:t xml:space="preserve">  </w:t>
      </w:r>
      <w:proofErr w:type="gramEnd"/>
      <w:r w:rsidRPr="00165482">
        <w:rPr>
          <w:rFonts w:ascii="Times New Roman" w:eastAsia="Arial" w:hAnsi="Times New Roman" w:cs="Times New Roman"/>
        </w:rPr>
        <w:t>Caso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Sendo esses recursos insuficientes, o Poder Executivo poderá reduzir as dotações destinadas para investimentos, desde que não comprometidas.</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1" w:name="_3znysh7" w:colFirst="0" w:colLast="0"/>
      <w:bookmarkEnd w:id="1"/>
      <w:r w:rsidRPr="00165482">
        <w:rPr>
          <w:rFonts w:ascii="Times New Roman" w:eastAsia="Arial" w:hAnsi="Times New Roman" w:cs="Times New Roman"/>
          <w:b/>
        </w:rPr>
        <w:t xml:space="preserve">Capítulo III - Das Metas e Prioridades da Administração </w:t>
      </w:r>
      <w:proofErr w:type="gramStart"/>
      <w:r w:rsidRPr="00165482">
        <w:rPr>
          <w:rFonts w:ascii="Times New Roman" w:eastAsia="Arial" w:hAnsi="Times New Roman" w:cs="Times New Roman"/>
          <w:b/>
        </w:rPr>
        <w:t>Pública Municipal Extraídas</w:t>
      </w:r>
      <w:proofErr w:type="gramEnd"/>
      <w:r w:rsidRPr="00165482">
        <w:rPr>
          <w:rFonts w:ascii="Times New Roman" w:eastAsia="Arial" w:hAnsi="Times New Roman" w:cs="Times New Roman"/>
          <w:b/>
        </w:rPr>
        <w:t xml:space="preserve"> do Plano Plurianual</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As metas e prioridades para o exercício financeiro de 2020 estão estruturadas de acordo com o Plano Plurianual para 2018/2021 - Lei Municipal nº 2.684/2017 e Lei Municipal nº 2.685/2017 e suas alterações, especificadas no </w:t>
      </w:r>
      <w:r w:rsidRPr="00165482">
        <w:rPr>
          <w:rFonts w:ascii="Times New Roman" w:eastAsia="Arial" w:hAnsi="Times New Roman" w:cs="Times New Roman"/>
          <w:b/>
        </w:rPr>
        <w:t>Anexo III</w:t>
      </w:r>
      <w:r w:rsidRPr="00165482">
        <w:rPr>
          <w:rFonts w:ascii="Times New Roman" w:eastAsia="Arial" w:hAnsi="Times New Roman" w:cs="Times New Roman"/>
        </w:rPr>
        <w:t>, integrante desta Lei, as quais terão precedência na alocação de recursos na Lei Orçamentária.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Os valores constantes no Anexo de que trata este artigo possuem caráter indicativo e não normativo, devendo servir de referência para o planejamento, podendo ser atualizados pela lei orçamentária ou através de créditos adicionais.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 programação da despesa na Lei de Orçamento Anual para o exercício financeiro de 2020 observará o atingimento das metas fiscais estabelecidas e atenderá às prioridades e metas estabelecidas no Anexo de que trata 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e aos seguintes objetivos básicos das ações de caráter continuado: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atendimento prioritário das despesas com pessoal e encargos sociais do Poder Executivo e do Poder Legislativo;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compromissos relativos ao serviço da dívida pública;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despesas indispensáveis ao custeio e manutenção da administração municipal;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despesas com conservação e manutenção do patrimônio público evidenciadas nesta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As metas e prioridades de que trata o </w:t>
      </w:r>
      <w:r w:rsidRPr="00165482">
        <w:rPr>
          <w:rFonts w:ascii="Times New Roman" w:eastAsia="Arial" w:hAnsi="Times New Roman" w:cs="Times New Roman"/>
          <w:i/>
        </w:rPr>
        <w:t xml:space="preserve">caput </w:t>
      </w:r>
      <w:r w:rsidRPr="00165482">
        <w:rPr>
          <w:rFonts w:ascii="Times New Roman" w:eastAsia="Arial" w:hAnsi="Times New Roman" w:cs="Times New Roman"/>
        </w:rPr>
        <w:t>deste artigo, bem como as respectivas ações planejadas para o seu atingimento,</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poderão ser alteradas, se durante o período decorrido entre a apresentação desta Lei e a elaboração da proposta orçamentária para 2020 surgirem novas demandas ou situações em que haja necessidade da intervenção do Poder Público, ou em decorrência de créditos adicionais ocorridos.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Na hipótese prevista no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as alterações do Anexo de Metas e Prioridades serão encaminhadas juntamente com a proposta orçamentária para o próximo exercício.</w:t>
      </w:r>
    </w:p>
    <w:p w:rsid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ind w:firstLine="0"/>
        <w:jc w:val="center"/>
        <w:rPr>
          <w:rFonts w:ascii="Times New Roman" w:eastAsia="Arial" w:hAnsi="Times New Roman" w:cs="Times New Roman"/>
          <w:b/>
        </w:rPr>
      </w:pPr>
      <w:bookmarkStart w:id="2" w:name="_2et92p0" w:colFirst="0" w:colLast="0"/>
      <w:bookmarkEnd w:id="2"/>
      <w:r w:rsidRPr="00165482">
        <w:rPr>
          <w:rFonts w:ascii="Times New Roman" w:eastAsia="Arial" w:hAnsi="Times New Roman" w:cs="Times New Roman"/>
          <w:b/>
        </w:rPr>
        <w:lastRenderedPageBreak/>
        <w:t>Capítulo IV - Da Estrutura e Organização do Orçamento</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5º Para efeito desta Lei</w:t>
      </w:r>
      <w:proofErr w:type="gramStart"/>
      <w:r w:rsidRPr="00165482">
        <w:rPr>
          <w:rFonts w:ascii="Times New Roman" w:eastAsia="Arial" w:hAnsi="Times New Roman" w:cs="Times New Roman"/>
        </w:rPr>
        <w:t>, entende-se</w:t>
      </w:r>
      <w:proofErr w:type="gramEnd"/>
      <w:r w:rsidRPr="00165482">
        <w:rPr>
          <w:rFonts w:ascii="Times New Roman" w:eastAsia="Arial" w:hAnsi="Times New Roman" w:cs="Times New Roman"/>
        </w:rPr>
        <w:t xml:space="preserve"> por: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Programa: instrumento de organização da ação governamental visando à concretização dos objetivos pretendidos, mensurados por indicadores, conforme estabelecido no plano plurianual;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Atividade: instrumento de programação para alcançar o objetivo de um programa, envolvendo um conjunto de operações que se realizam de modo contínuo e permanente, das quais resulta um produto necessário à manutenção da ação de governo;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Projeto: instrumento de programação para alcançar o objetivo de um programa, envolvendo um conjunto de operações, limitadas no tempo, das quais resulta um produto que concorre para a expansão ou aperfeiçoamento da ação de governo;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Operação Especial: despesas que não contribuem para a manutenção das ações de governo, das quais não resulta um produto, e não geram contraprestação direta sob a forma de bens ou serviços;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Órgão Orçamentário: o maior nível da classificação institucional, que tem por finalidade agrupar unidades orçamentárias.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Unidade Orçamentária: o menor nível da classificação institucional;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 2º Cada atividade, projeto ou operação especial identificará a função e a </w:t>
      </w:r>
      <w:proofErr w:type="spellStart"/>
      <w:r w:rsidRPr="00165482">
        <w:rPr>
          <w:rFonts w:ascii="Times New Roman" w:eastAsia="Arial" w:hAnsi="Times New Roman" w:cs="Times New Roman"/>
        </w:rPr>
        <w:t>subfunção</w:t>
      </w:r>
      <w:proofErr w:type="spellEnd"/>
      <w:r w:rsidRPr="00165482">
        <w:rPr>
          <w:rFonts w:ascii="Times New Roman" w:eastAsia="Arial" w:hAnsi="Times New Roman" w:cs="Times New Roman"/>
        </w:rPr>
        <w:t xml:space="preserve"> às quais se </w:t>
      </w:r>
      <w:proofErr w:type="gramStart"/>
      <w:r w:rsidRPr="00165482">
        <w:rPr>
          <w:rFonts w:ascii="Times New Roman" w:eastAsia="Arial" w:hAnsi="Times New Roman" w:cs="Times New Roman"/>
        </w:rPr>
        <w:t>vinculam,</w:t>
      </w:r>
      <w:proofErr w:type="gramEnd"/>
      <w:r w:rsidRPr="00165482">
        <w:rPr>
          <w:rFonts w:ascii="Times New Roman" w:eastAsia="Arial" w:hAnsi="Times New Roman" w:cs="Times New Roman"/>
        </w:rPr>
        <w:t xml:space="preserve"> de acordo com a Portaria MOG nº 42/1999 e suas atualizações.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A classificação das unidades orçamentárias atenderá, no que couber, ao disposto no art. 14 da Lei Federal nº 4.320/64.</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4º As operações especiais relacionadas ao pagamento de encargos gerais do Município, serão consignadas em unidade orçamentária específica.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6º Independentemente do grupo de natureza de despesa em que for classificado, todo e qualquer crédito orçamentário deve ser consignado diretamente à unidade orçamentária à qual pertencem as ações correspondentes, vedando-se a consignação de </w:t>
      </w:r>
      <w:r w:rsidRPr="00165482">
        <w:rPr>
          <w:rFonts w:ascii="Times New Roman" w:eastAsia="Arial" w:hAnsi="Times New Roman" w:cs="Times New Roman"/>
        </w:rPr>
        <w:lastRenderedPageBreak/>
        <w:t xml:space="preserve">crédito a título de transferência a unidades orçamentárias integrantes dos </w:t>
      </w:r>
      <w:proofErr w:type="gramStart"/>
      <w:r w:rsidRPr="00165482">
        <w:rPr>
          <w:rFonts w:ascii="Times New Roman" w:eastAsia="Arial" w:hAnsi="Times New Roman" w:cs="Times New Roman"/>
        </w:rPr>
        <w:t>Orçamentos Fiscal</w:t>
      </w:r>
      <w:proofErr w:type="gramEnd"/>
      <w:r w:rsidRPr="00165482">
        <w:rPr>
          <w:rFonts w:ascii="Times New Roman" w:eastAsia="Arial" w:hAnsi="Times New Roman" w:cs="Times New Roman"/>
        </w:rPr>
        <w:t xml:space="preserve"> e da Seguridade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As operações entre órgãos, fundos e entidades previstas nos </w:t>
      </w:r>
      <w:proofErr w:type="gramStart"/>
      <w:r w:rsidRPr="00165482">
        <w:rPr>
          <w:rFonts w:ascii="Times New Roman" w:eastAsia="Arial" w:hAnsi="Times New Roman" w:cs="Times New Roman"/>
        </w:rPr>
        <w:t>Orçamentos Fiscal</w:t>
      </w:r>
      <w:proofErr w:type="gramEnd"/>
      <w:r w:rsidRPr="00165482">
        <w:rPr>
          <w:rFonts w:ascii="Times New Roman" w:eastAsia="Arial" w:hAnsi="Times New Roman" w:cs="Times New Roman"/>
        </w:rPr>
        <w:t xml:space="preserve">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7º Os orçamentos fiscal e da seguridade social discriminarão a despesa por elementos de despesa, na forma do art. 15, § 1º, da Lei Federal nº 4.320/64.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8º O Projeto de Lei Orçamentária Anual será encaminhado ao Poder Legislativo, conforme estabelecido no § 5º do art. 165 da Constituição Federal, no </w:t>
      </w:r>
      <w:proofErr w:type="spellStart"/>
      <w:r w:rsidRPr="00165482">
        <w:rPr>
          <w:rFonts w:ascii="Times New Roman" w:eastAsia="Arial" w:hAnsi="Times New Roman" w:cs="Times New Roman"/>
        </w:rPr>
        <w:t>art</w:t>
      </w:r>
      <w:proofErr w:type="spellEnd"/>
      <w:r w:rsidRPr="00165482">
        <w:rPr>
          <w:rFonts w:ascii="Times New Roman" w:eastAsia="Arial" w:hAnsi="Times New Roman" w:cs="Times New Roman"/>
        </w:rPr>
        <w:t xml:space="preserve"> 94 da Lei Orgânica do Município e no art. 2º, da Lei Federal nº 4.320/64, e será composto 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texto da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consolidação dos quadros orçamentários;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Integrarão a consolidação dos quadros orçamentários a que se refere o inciso II, incluindo os complementos referenciados no art. 22, inciso III, da Lei Federal nº 4.320/64, os seguintes quadros: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discriminação da legislação básica da receita e da despesa dos orçamentos fiscal e da seguridade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demonstrativo da evolução da receita, por origem de arrecadação, em atendimento ao disposto no art. 12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demonstrativo da estimativa e compensação da renúncia de receita e da margem de expansão das despesas obrigatórias de caráter continuado, de acordo com o art. 5º, inciso II,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demonstrativo das receitas por origem e das despesas por grupo de natureza de despesa dos orçamentos fiscal e da seguridade social, conforme art. 165, § 5º, III, da Constituição Federal;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demonstrativo da receita e planos de aplicação dos Fundos Especiais, que obedecerá ao disposto no inciso I do § 2º do art. 2º da Lei Federal nº 4.320/64;</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VI – demonstrativo de compatibilidade da programação do orçamento com as metas fiscais estabelecidas na Lei de Diretrizes Orçamentárias, de acordo com o art. 5º, inciso I,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VIII - demonstrativo da previsão das aplicações de recursos na Manutenção e Desenvolvimento do Ensino (MDE) e do Fundo de Manutenção e Desenvolvimento da Educação Básica e de Valorização dos Profissionais da Educação (FUNDEB);</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IX - demonstrativo da previsão da aplicação anual do Município em Ações e Serviços Públicos de Saúde (ASPS), conforme a Lei Complementar nº 141, de 13 de janeiro de 2012;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X - demonstrativo das categorias de programação a serem financiadas com recursos de operações de crédito realizadas e a realizar, com indicação da dotação e do orçamento a que pertencem;</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XI - demonstrativo do cálculo do limite máximo de despesa para a Câmara Municipal, conforme o artigo 29-A da Constituição Federal, de acordo com a metodologia prevista no § 2º do art. 13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9º A mensagem que encaminhar o projeto de lei orçamentária anual conterá:</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relato sucinto da situação econômica e financeira do Município e projeções para o exercício de 2020, com destaque, se for o caso, para o comprometimento da receita com o pagamento da dívida;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resumo da política econômica e social do Governo;</w:t>
      </w:r>
    </w:p>
    <w:p w:rsidR="00165482" w:rsidRPr="00165482" w:rsidRDefault="00165482" w:rsidP="00165482">
      <w:pPr>
        <w:pStyle w:val="Normal1"/>
        <w:spacing w:before="0" w:after="0"/>
        <w:rPr>
          <w:rFonts w:ascii="Times New Roman" w:eastAsia="Arial" w:hAnsi="Times New Roman" w:cs="Times New Roman"/>
        </w:rPr>
      </w:pPr>
      <w:bookmarkStart w:id="3" w:name="_GoBack"/>
      <w:bookmarkEnd w:id="3"/>
      <w:r w:rsidRPr="00165482">
        <w:rPr>
          <w:rFonts w:ascii="Times New Roman" w:eastAsia="Arial" w:hAnsi="Times New Roman" w:cs="Times New Roman"/>
        </w:rPr>
        <w:t>III - justificativa da estimativa e da fixação, respectivamente, da receita e da despesa e dos seus principais agregados, conforme dispõe o inciso I do art. 22 da Lei Federal nº 4.320, de 1964;</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memória de cálculo da receita e premissas utilizadas;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demonstrativo da dívida fundada, assim como da evolução do estoque da dívida pública, dos últimos três anos, a situação provável no final de 2019 e a previsão para o exercício de 2020;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VI - relação dos precatórios a serem cumpridos em 2020 com as dotações para tal fim constantes na proposta orçamentária;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 – relação das ações aprovadas nas audiências públicas realizadas na forma estabelecida pelo art. 11 desta Lei, com a identificação dos respectivos projetos, atividades ou operações especiais, bem como os valores correspondentes.</w:t>
      </w:r>
    </w:p>
    <w:p w:rsidR="00165482" w:rsidRPr="00165482" w:rsidRDefault="00165482" w:rsidP="00165482">
      <w:pPr>
        <w:pStyle w:val="Normal1"/>
        <w:spacing w:before="0" w:after="0"/>
        <w:ind w:firstLine="0"/>
        <w:jc w:val="center"/>
        <w:rPr>
          <w:rFonts w:ascii="Times New Roman" w:eastAsia="Arial" w:hAnsi="Times New Roman" w:cs="Times New Roman"/>
        </w:rPr>
      </w:pPr>
    </w:p>
    <w:p w:rsidR="00165482" w:rsidRPr="00165482" w:rsidRDefault="00165482" w:rsidP="00165482">
      <w:pPr>
        <w:pStyle w:val="Normal1"/>
        <w:spacing w:before="0" w:after="0"/>
        <w:ind w:firstLine="0"/>
        <w:jc w:val="center"/>
        <w:rPr>
          <w:rFonts w:ascii="Times New Roman" w:eastAsia="Arial" w:hAnsi="Times New Roman" w:cs="Times New Roman"/>
          <w:b/>
        </w:rPr>
      </w:pPr>
      <w:bookmarkStart w:id="4" w:name="_tyjcwt" w:colFirst="0" w:colLast="0"/>
      <w:bookmarkEnd w:id="4"/>
      <w:r w:rsidRPr="00165482">
        <w:rPr>
          <w:rFonts w:ascii="Times New Roman" w:eastAsia="Arial" w:hAnsi="Times New Roman" w:cs="Times New Roman"/>
          <w:b/>
        </w:rPr>
        <w:t>Capítulo V - Das Diretrizes para Elaboração e Execução do Orçamento e suas Alterações</w:t>
      </w:r>
    </w:p>
    <w:p w:rsidR="00165482" w:rsidRDefault="00165482" w:rsidP="00165482">
      <w:pPr>
        <w:pStyle w:val="Normal1"/>
        <w:spacing w:before="0" w:after="0"/>
        <w:ind w:firstLine="0"/>
        <w:jc w:val="center"/>
        <w:rPr>
          <w:rFonts w:ascii="Times New Roman" w:eastAsia="Arial" w:hAnsi="Times New Roman" w:cs="Times New Roman"/>
          <w:b/>
        </w:rPr>
      </w:pPr>
      <w:bookmarkStart w:id="5" w:name="_3dy6vkm" w:colFirst="0" w:colLast="0"/>
      <w:bookmarkEnd w:id="5"/>
      <w:r w:rsidRPr="00165482">
        <w:rPr>
          <w:rFonts w:ascii="Times New Roman" w:eastAsia="Arial" w:hAnsi="Times New Roman" w:cs="Times New Roman"/>
          <w:b/>
        </w:rPr>
        <w:t>Seção I - Das Diretrizes Gerais</w:t>
      </w:r>
    </w:p>
    <w:p w:rsidR="00165482" w:rsidRPr="00165482" w:rsidRDefault="00165482" w:rsidP="00165482">
      <w:pPr>
        <w:pStyle w:val="Normal1"/>
        <w:spacing w:before="0" w:after="0"/>
        <w:ind w:firstLine="0"/>
        <w:jc w:val="center"/>
        <w:rPr>
          <w:rFonts w:ascii="Times New Roman" w:eastAsia="Arial" w:hAnsi="Times New Roman" w:cs="Times New Roman"/>
          <w:b/>
        </w:rPr>
      </w:pPr>
    </w:p>
    <w:p w:rsidR="00165482" w:rsidRPr="00165482" w:rsidRDefault="00165482" w:rsidP="00165482">
      <w:pPr>
        <w:pStyle w:val="Normal1"/>
        <w:spacing w:before="0" w:after="0"/>
        <w:ind w:firstLine="0"/>
        <w:rPr>
          <w:rFonts w:ascii="Times New Roman" w:eastAsia="Arial" w:hAnsi="Times New Roman" w:cs="Times New Roman"/>
        </w:rPr>
      </w:pPr>
      <w:r w:rsidRPr="00165482">
        <w:rPr>
          <w:rFonts w:ascii="Times New Roman" w:eastAsia="Arial" w:hAnsi="Times New Roman" w:cs="Times New Roman"/>
        </w:rPr>
        <w:t xml:space="preserve"> </w:t>
      </w:r>
      <w:r w:rsidRPr="00165482">
        <w:rPr>
          <w:rFonts w:ascii="Times New Roman" w:eastAsia="Arial" w:hAnsi="Times New Roman" w:cs="Times New Roman"/>
        </w:rPr>
        <w:tab/>
        <w:t xml:space="preserve">Art. 10. </w:t>
      </w:r>
      <w:proofErr w:type="gramStart"/>
      <w:r w:rsidRPr="00165482">
        <w:rPr>
          <w:rFonts w:ascii="Times New Roman" w:eastAsia="Arial" w:hAnsi="Times New Roman" w:cs="Times New Roman"/>
        </w:rPr>
        <w:t>Os orçamentos fiscal</w:t>
      </w:r>
      <w:proofErr w:type="gramEnd"/>
      <w:r w:rsidRPr="00165482">
        <w:rPr>
          <w:rFonts w:ascii="Times New Roman" w:eastAsia="Arial" w:hAnsi="Times New Roman" w:cs="Times New Roman"/>
        </w:rPr>
        <w:t xml:space="preserve">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recebam recursos.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Parágrafo único. Os órgãos da Administração Indireta e o Poder Legislativo encaminharão à Secretaria da Fazenda, até 01 de Outubro de 2019, suas respectivas propostas orçamentárias, para fins de consolidação do Projeto de Lei Orçamentária de 2020, observadas as disposições desta Lei.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11. A elaboração e a aprovação do Orçamento para o exercício de 2020 e a sua execução obedecerão, entre outros, ao princípio da publicidade, promovendo-se a transparência da gestão fiscal e permitindo-se o amplo acesso da sociedade a todas as informações relativas a cada uma dessas etapas.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 Câmara Municipal organizará audiência(s) pública(s) para discussão da proposta orçamentária durante o processo de sua apreciação e aprovação.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A administração dos Fundos Municipais será efetivada pelo Chefe do Poder Executivo, podendo, por </w:t>
      </w:r>
      <w:proofErr w:type="gramStart"/>
      <w:r w:rsidRPr="00165482">
        <w:rPr>
          <w:rFonts w:ascii="Times New Roman" w:eastAsia="Arial" w:hAnsi="Times New Roman" w:cs="Times New Roman"/>
        </w:rPr>
        <w:t>ato formal deste, e observada</w:t>
      </w:r>
      <w:proofErr w:type="gramEnd"/>
      <w:r w:rsidRPr="00165482">
        <w:rPr>
          <w:rFonts w:ascii="Times New Roman" w:eastAsia="Arial" w:hAnsi="Times New Roman" w:cs="Times New Roman"/>
        </w:rPr>
        <w:t xml:space="preserve"> a respectiva legislação, ser delegada a Secretários, servidores municipais ou comissão de servidores.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 movimentação orçamentária e financeira das contas dos Fundos Municipais deverão ser demonstradas, também, em balancetes apartados das contas do Município.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2020.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Até 30 dias antes do encaminhamento da Proposta Orçamentária ao Poder Legislativo, o Poder Executivo Municipal colocará à disposição da Câmara Municipal os estudos e as estimativas de receitas para o exercício de 2020, inclusive da receita corrente líquida, e as respectivas memórias de cálculo.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14. A lei orçamentária conterá reservas de contingência, </w:t>
      </w:r>
      <w:proofErr w:type="gramStart"/>
      <w:r w:rsidRPr="00165482">
        <w:rPr>
          <w:rFonts w:ascii="Times New Roman" w:eastAsia="Arial" w:hAnsi="Times New Roman" w:cs="Times New Roman"/>
        </w:rPr>
        <w:t>desdobradas</w:t>
      </w:r>
      <w:proofErr w:type="gramEnd"/>
      <w:r w:rsidRPr="00165482">
        <w:rPr>
          <w:rFonts w:ascii="Times New Roman" w:eastAsia="Arial" w:hAnsi="Times New Roman" w:cs="Times New Roman"/>
        </w:rPr>
        <w:t xml:space="preserve"> para atender às seguintes finalidades: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cobertura de créditos adicionais;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atender passivos contingentes e outros riscos e eventos fiscais imprevistos;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A reserva de contingência, de que trata o inciso II do </w:t>
      </w:r>
      <w:r w:rsidRPr="00165482">
        <w:rPr>
          <w:rFonts w:ascii="Times New Roman" w:eastAsia="Arial" w:hAnsi="Times New Roman" w:cs="Times New Roman"/>
          <w:i/>
        </w:rPr>
        <w:t>caput</w:t>
      </w:r>
      <w:r w:rsidRPr="00165482">
        <w:rPr>
          <w:rFonts w:ascii="Times New Roman" w:eastAsia="Arial" w:hAnsi="Times New Roman" w:cs="Times New Roman"/>
        </w:rPr>
        <w:t>, será fixada em, no máximo, 05 % (cinco por cento) da receita corrente líquida, e sua utilização dar-se-á mediante créditos adicionais abertos à sua conta.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Na hipótese de ficar demonstrado que a reserva de contingência constituída para atender os passivos contingentes e outros riscos e eventos fiscais imprevistos não precisará </w:t>
      </w:r>
      <w:r w:rsidRPr="00165482">
        <w:rPr>
          <w:rFonts w:ascii="Times New Roman" w:eastAsia="Arial" w:hAnsi="Times New Roman" w:cs="Times New Roman"/>
        </w:rPr>
        <w:lastRenderedPageBreak/>
        <w:t>ser utilizada para sua finalidade, no todo ou em parte, o Chefe do Executivo poderá utilizar seu saldo para dar cobertura a outros créditos adicionais, legalmente autorizados na forma dos artigos 41, 42 e 43 da Lei Federal nº 4.320/1964.</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15. Observado o disposto no art. 45 da Lei Complementar nº 101, de 2000, somente serão incluídos novos projetos na Lei Orçamentária de 2020 se: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tiverem sido adequada e suficientemente contempladas as despesas para conservação do patrimônio público e para os projetos em andamento, constantes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 ação estiver compatível com o Plano Plurianual.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Parágrafo único. O disposto neste artigo não se aplica às despesas programadas com recursos de transferências voluntárias e operações de crédito, cuja execução fica limitada à respectiva disponibilidade orçamentária e financeira.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Para efeito do disposto no art. 16, § 3º, da LC nº 101/2000, serão consideradas despesas irrelevantes aquelas decorrentes da criação, expansão ou aperfeiçoamento da ação governamental que acarrete aumento da despesa, cujo montante no exercício financeiro, em cada evento, não exceda aos valores limites para dispensa de licitação fixados nos incisos I e II do art. 24 da Lei nº 8.666/93, conforme o caso.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No caso de despesas com pessoal, desde que não configurem geração de despesa obrigatória de caráter continuado, serão consideradas irrelevantes aquelas cujo montante, no exercício, em cada evento, não exceda a 10 (dez) vezes o menor padrão de vencimentos.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I – o limite das respectivas dotações constantes da Lei Orçamentária de 2020 e de créditos adicionais;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 – os limites estabelecidos nos </w:t>
      </w:r>
      <w:proofErr w:type="spellStart"/>
      <w:r w:rsidRPr="00165482">
        <w:rPr>
          <w:rFonts w:ascii="Times New Roman" w:eastAsia="Arial" w:hAnsi="Times New Roman" w:cs="Times New Roman"/>
        </w:rPr>
        <w:t>arts</w:t>
      </w:r>
      <w:proofErr w:type="spellEnd"/>
      <w:r w:rsidRPr="00165482">
        <w:rPr>
          <w:rFonts w:ascii="Times New Roman" w:eastAsia="Arial" w:hAnsi="Times New Roman" w:cs="Times New Roman"/>
        </w:rPr>
        <w:t xml:space="preserve">. 20, inciso III, e 22, parágrafo único, da LC nº 101/2000, no caso das despesas com </w:t>
      </w:r>
      <w:proofErr w:type="gramStart"/>
      <w:r w:rsidRPr="00165482">
        <w:rPr>
          <w:rFonts w:ascii="Times New Roman" w:eastAsia="Arial" w:hAnsi="Times New Roman" w:cs="Times New Roman"/>
        </w:rPr>
        <w:t>pessoal e respectivos encargos</w:t>
      </w:r>
      <w:proofErr w:type="gramEnd"/>
      <w:r w:rsidRPr="00165482">
        <w:rPr>
          <w:rFonts w:ascii="Times New Roman" w:eastAsia="Arial" w:hAnsi="Times New Roman" w:cs="Times New Roman"/>
        </w:rPr>
        <w:t>; 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o valor da margem líquida de expansão constante no demonstrativo de que trata o art. 2º, VIII,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18.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3º, da LC nº 101/2000, deverá, no mínimo, evidenciar, em relatórios complementares os gastos das obras e dos serviços públicos, tais como: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dos programas e das ações previsto no Plano Plurianual;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do m² das construções e do m² das pavimentações;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do custo aluno/ano da educação infantil e do ensino fundamental, do custo aluno/ano do transporte escolar e do custo aluno/ano com merenda escolar;</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do custo da destinação final do lixo urbano, incluído a coleta/habitante do núcleo</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urbano conforme censo do IBGE;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V - do custo do atendimento nas unidades de saúde, entre outros.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O controle de custos de que trata o </w:t>
      </w:r>
      <w:r w:rsidRPr="00165482">
        <w:rPr>
          <w:rFonts w:ascii="Times New Roman" w:eastAsia="Arial" w:hAnsi="Times New Roman" w:cs="Times New Roman"/>
          <w:i/>
        </w:rPr>
        <w:t>caput</w:t>
      </w:r>
      <w:r w:rsidRPr="00165482">
        <w:rPr>
          <w:rFonts w:ascii="Times New Roman" w:eastAsia="Arial" w:hAnsi="Times New Roman" w:cs="Times New Roman"/>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Os custos serão apurados e avaliados através das operações orçamentárias, tomando-se por base, a comparação entre as despesas autorizadas e liquidadas, bem como a comparação entre as metas físicas previstas e as realizadas.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3º Os relatórios referidos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deverão ser disponibilizados em meio eletrônico de acesso ao público, em até 30 dias contados da data de sua emissão.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19. As metas fiscais estabelecidas no demonstrativo de que trata o inciso I do art. 2º serão desdobradas em metas quadrimestrais para fins de avaliação em audiência pública na Câmara Municipal até o final dos meses de maio, setembro e fevereiro, de modo a </w:t>
      </w:r>
      <w:r w:rsidRPr="00165482">
        <w:rPr>
          <w:rFonts w:ascii="Times New Roman" w:eastAsia="Arial" w:hAnsi="Times New Roman" w:cs="Times New Roman"/>
        </w:rPr>
        <w:lastRenderedPageBreak/>
        <w:t>acompanhar o cumprimento dos seus objetivos, corrigir desvios, avaliar os gastos e também o cumprimento das metas físicas estabelecidas.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Para fins de realização da audiência pública prevista </w:t>
      </w:r>
      <w:r w:rsidRPr="00165482">
        <w:rPr>
          <w:rFonts w:ascii="Times New Roman" w:eastAsia="Arial" w:hAnsi="Times New Roman" w:cs="Times New Roman"/>
          <w:i/>
        </w:rPr>
        <w:t>caput</w:t>
      </w:r>
      <w:r w:rsidRPr="00165482">
        <w:rPr>
          <w:rFonts w:ascii="Times New Roman" w:eastAsia="Arial" w:hAnsi="Times New Roman" w:cs="Times New Roman"/>
        </w:rPr>
        <w:t>, e em conformidade com o art. 9º, § 4º, da LC nº 101/2000, o Poder Executivo encaminhará ao Poder Legislativo, até 05 (cinco) dias antes da audiência, relatório de avaliação do cumprimento das metas fiscais, com as justificativas de eventuais desvios e indicação das medidas corretivas adotadas.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Compete ao Poder Legislativo Municipal, mediante prévio agendamento com o Poder Executivo, convocar e coordenar a realização das audiências públicas referidas no </w:t>
      </w:r>
      <w:r w:rsidRPr="00165482">
        <w:rPr>
          <w:rFonts w:ascii="Times New Roman" w:eastAsia="Arial" w:hAnsi="Times New Roman" w:cs="Times New Roman"/>
          <w:i/>
        </w:rPr>
        <w:t>caput</w:t>
      </w:r>
      <w:r w:rsidRPr="00165482">
        <w:rPr>
          <w:rFonts w:ascii="Times New Roman" w:eastAsia="Arial" w:hAnsi="Times New Roman" w:cs="Times New Roman"/>
        </w:rPr>
        <w:t>.</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ind w:firstLine="0"/>
        <w:jc w:val="center"/>
        <w:rPr>
          <w:rFonts w:ascii="Times New Roman" w:eastAsia="Arial" w:hAnsi="Times New Roman" w:cs="Times New Roman"/>
          <w:b/>
        </w:rPr>
      </w:pPr>
      <w:bookmarkStart w:id="6" w:name="_1t3h5sf" w:colFirst="0" w:colLast="0"/>
      <w:bookmarkEnd w:id="6"/>
      <w:r w:rsidRPr="00165482">
        <w:rPr>
          <w:rFonts w:ascii="Times New Roman" w:eastAsia="Arial" w:hAnsi="Times New Roman" w:cs="Times New Roman"/>
          <w:b/>
        </w:rPr>
        <w:t>Seção II - Das Diretrizes Específicas do Orçamento da Seguridade Social</w:t>
      </w:r>
    </w:p>
    <w:p w:rsidR="00165482" w:rsidRPr="00165482" w:rsidRDefault="00165482" w:rsidP="00165482">
      <w:pPr>
        <w:pStyle w:val="Normal1"/>
        <w:spacing w:before="0" w:after="0"/>
        <w:ind w:firstLine="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20. O Orçamento da Seguridade Social compreenderá as dotações destinadas a atender às ações de saúde, previdência e assistência social, e contará, entre outros, com recursos provenientes: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do produto da arrecadação de impostos e transferências constitucionais vinculados às ações e serviços públicos de saúde, nos termos da Lei Complementar nº 141, de 13 de janeiro de 2012;</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das contribuições para o Regime Próprio de Previdência Social dos Servidores Municipais, que será utilizada para despesas com encargos previdenciários do Município;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III – do Orçamento Fiscal;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IV – das demais receitas cujas despesas integram, exclusivamente, o orçamento referido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As receitas de que trata os incisos I, II e IV deste artigo deverão ser classificadas como receitas da seguridade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O orçamento da seguridade social será evidenciado na forma do demonstrativo previsto no art. 8º, § 1º, inciso IV, desta Lei.</w:t>
      </w:r>
    </w:p>
    <w:p w:rsid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7" w:name="_4d34og8" w:colFirst="0" w:colLast="0"/>
      <w:bookmarkEnd w:id="7"/>
      <w:r w:rsidRPr="00165482">
        <w:rPr>
          <w:rFonts w:ascii="Times New Roman" w:eastAsia="Arial" w:hAnsi="Times New Roman" w:cs="Times New Roman"/>
          <w:b/>
        </w:rPr>
        <w:lastRenderedPageBreak/>
        <w:t>Seção III - Das Disposições sobre a Programação e Execução Orçamentária e Financeira</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O ato referido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e os que o modificarem conterá:</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metas quadrimestrais para o resultado primário, que servirão de parâmetro para a avaliação de que trata o art. 9º, § 4º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cronograma de desembolso mensal de despesas, por órgão e unidade orçamentária.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Contrapartida para projetos ou atividades vinculados a recursos oriundos de fontes extraordinárias, como transferências voluntárias, operações de crédito, alienação de ativos, desde que ainda não comprometidos;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Obras em geral, desde que ainda não iniciadas;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III – Dotação para combustíveis destinada à frota de veículos dos setores de transportes, obras, serviços públicos e agricultura;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IV – Dotação para material de consumo e outros serviços de terceiros das diversas atividades;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V – Diárias de viagem;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Horas extras.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Na avaliação do cumprimento das metas bimestrais de arrecadação para </w:t>
      </w:r>
      <w:proofErr w:type="gramStart"/>
      <w:r w:rsidRPr="00165482">
        <w:rPr>
          <w:rFonts w:ascii="Times New Roman" w:eastAsia="Arial" w:hAnsi="Times New Roman" w:cs="Times New Roman"/>
        </w:rPr>
        <w:t>implementação</w:t>
      </w:r>
      <w:proofErr w:type="gramEnd"/>
      <w:r w:rsidRPr="00165482">
        <w:rPr>
          <w:rFonts w:ascii="Times New Roman" w:eastAsia="Arial" w:hAnsi="Times New Roman" w:cs="Times New Roman"/>
        </w:rPr>
        <w:t xml:space="preserve"> ou não do mecanismo da limitação de empenho e movimentação financeira, será considerado ainda o resultado financeiro apurado no Balanço Patrimonial do exercício de 2019, observada a vinculação de recursos.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Não serão objeto de limitação de empenho: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despesas relacionadas com vinculações constitucionais e legais, nos termos do § 2º do art. 9º da LC nº 101/2000 e do art. 28 da Lei Complementar Federal n.º 141, de 13 de janeiro de 2012;</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as despesas com o pagamento de precatórios e sentenças judiciais de pequeno valor;</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III - as despesas fixas e obrigatórias com pessoal e encargos sociais; </w:t>
      </w:r>
      <w:proofErr w:type="gramStart"/>
      <w:r w:rsidRPr="00165482">
        <w:rPr>
          <w:rFonts w:ascii="Times New Roman" w:eastAsia="Arial" w:hAnsi="Times New Roman" w:cs="Times New Roman"/>
        </w:rPr>
        <w:t>e</w:t>
      </w:r>
      <w:proofErr w:type="gramEnd"/>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IV - as despesas financiadas com recursos de Transferências Voluntárias da União e do Estado, Operações de Crédito e Alienação de bens, observado o disposto no art. 24 desta Lei.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3º Na hipótese de ocorrência do disposto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o Poder Executivo comunicará à Câmara Municipal o montante que lhe caberá tornar indisponível para empenho e movimentação financeira.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4º Os Chefes do Poder Executivo e do Poder Legislativo deverão divulgar, em ato próprio, os ajustes processados, que será discriminado, no mínimo, por unidade orçamentária.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5º Ocorrendo o restabelecimento da receita prevista, a recomposição se fará obedecendo ao disposto no art. 9º, § 1º,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6º Na ocorrência de calamidade pública, reconhecida na forma da lei, serão dispensadas a obtenção dos resultados fiscais programados e a limitação de empenho enquanto perdurar essa situação, nos termos do art. 65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 xml:space="preserve">Art. 23. O repasse financeiro da cota destinada ao atendimento das despesas do Poder Legislativo, obedecida </w:t>
      </w:r>
      <w:proofErr w:type="gramStart"/>
      <w:r w:rsidRPr="00165482">
        <w:rPr>
          <w:rFonts w:ascii="Times New Roman" w:eastAsia="Arial" w:hAnsi="Times New Roman" w:cs="Times New Roman"/>
        </w:rPr>
        <w:t>a</w:t>
      </w:r>
      <w:proofErr w:type="gramEnd"/>
      <w:r w:rsidRPr="00165482">
        <w:rPr>
          <w:rFonts w:ascii="Times New Roman" w:eastAsia="Arial" w:hAnsi="Times New Roman" w:cs="Times New Roman"/>
        </w:rPr>
        <w:t xml:space="preserve"> programação financeira, será repassado até o dia 20 de cada mês, mediante depósito em conta bancária específica, indicada pela Mesa Diretora da Câmara Municipal.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Ao final do exercício financeiro de 2020,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O eventual saldo de recursos financeiros que não for devolvido no prazo estabelecido no parágrafo anterior, será devidamente registrado na contabilidade e considerado como antecipação de repasse do exercício financeiro de 2021;</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Para fins disposto no </w:t>
      </w:r>
      <w:r w:rsidRPr="00165482">
        <w:rPr>
          <w:rFonts w:ascii="Times New Roman" w:eastAsia="Arial" w:hAnsi="Times New Roman" w:cs="Times New Roman"/>
          <w:i/>
        </w:rPr>
        <w:t>caput</w:t>
      </w:r>
      <w:r w:rsidRPr="00165482">
        <w:rPr>
          <w:rFonts w:ascii="Times New Roman" w:eastAsia="Arial" w:hAnsi="Times New Roman" w:cs="Times New Roman"/>
        </w:rPr>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A execução das Receitas e das Despesas identificará com codificação adequada cada uma das fontes de recursos, de forma a permitir o adequado controle da execução dos recursos mencionados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 realização de atos de gestão orçamentária, financeira e patrimonial, após 31 de dezembro de 2020, relativos ao exercício findo, não será permitida, exceto ajustes para fins de elaboração das demonstrações contábeis, os quais deverão ocorrer até o trigésimo dia de seu encerramento.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26. Para efeito do disposto no § 1º do art. 1º e do art. 42 da LC nº 101/2000, considera-se contraída a obrigação, e exigível o empenho da despesa correspondente, no momento da formalização do contrato administrativo ou instrumento congênere.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No caso de despesas relativas </w:t>
      </w:r>
      <w:proofErr w:type="gramStart"/>
      <w:r w:rsidRPr="00165482">
        <w:rPr>
          <w:rFonts w:ascii="Times New Roman" w:eastAsia="Arial" w:hAnsi="Times New Roman" w:cs="Times New Roman"/>
        </w:rPr>
        <w:t>à</w:t>
      </w:r>
      <w:proofErr w:type="gramEnd"/>
      <w:r w:rsidRPr="00165482">
        <w:rPr>
          <w:rFonts w:ascii="Times New Roman" w:eastAsia="Arial" w:hAnsi="Times New Roman" w:cs="Times New Roman"/>
        </w:rPr>
        <w:t xml:space="preserve"> obras e prestação de serviços, consideram-se compromissadas apenas as prestações cujos pagamentos devam ser realizados no exercício financeiro, observado o cronograma pactuado.</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8" w:name="_2s8eyo1" w:colFirst="0" w:colLast="0"/>
      <w:bookmarkEnd w:id="8"/>
      <w:r w:rsidRPr="00165482">
        <w:rPr>
          <w:rFonts w:ascii="Times New Roman" w:eastAsia="Arial" w:hAnsi="Times New Roman" w:cs="Times New Roman"/>
          <w:b/>
        </w:rPr>
        <w:t>Seção IV - Das Diretrizes sobre Alterações da Lei Orçamentária</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27. A abertura de créditos suplementares e especiais dependerá da existência de recursos disponíveis para a despesa, nos termos da Lei Federal nº 4.320/64.</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Acompanharão os projetos de lei relativos a créditos suplementares e especiais exposições de motivos circunstanciadas que os justifiquem e indiquem, quando for o caso, as consequências dos cancelamentos de dotações propostos sobre a execução das atividades, projetos, operações especiais, e respectivas metas.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Os recursos alocados na Lei Orçamentária de 2020 para pagamento de precatórios somente poderão ser cancelados para a abertura de créditos suplementares ou especiais para finalidades diversas mediante autorização legislativa específica.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4º Nos casos de créditos à conta de recursos de excesso de arrecadação ou à conta de receitas não previstas no orçamento, as exposições de motivos conterão a atualização das estimativas de receitas para o exercício, comparando-as com as estimativas constantes na Lei </w:t>
      </w:r>
      <w:r w:rsidRPr="00165482">
        <w:rPr>
          <w:rFonts w:ascii="Times New Roman" w:eastAsia="Arial" w:hAnsi="Times New Roman" w:cs="Times New Roman"/>
        </w:rPr>
        <w:lastRenderedPageBreak/>
        <w:t>Orçamentária, a identificação das parcelas já utilizadas em créditos adicionais, abertos ou cujos projetos se encontrem em tramitação.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5º Nos casos de abertura de créditos adicionais à conta de superávit financeiro, as exposições de motivos conterão informações relativas 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superávit financeiro do exercício de 2019, por fonte de recursos;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créditos especiais e extraordinários reabertos no exercício de 2020;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III - valores já utilizados em créditos adicionais, abertos ou em tramitação;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saldo atualizado do superávit financeiro, por fonte de recursos.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6º Considera-se superávit financeiro do exercício anterior, para fins do § 2º do art. 43 da Lei Federal nº 4.320/64, os recursos que forem disponibilizados a partir do cancelamento de restos a pagar durante o exercício de 2019, obedecida a fonte de recursos correspondente.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7º Os projetos de lei relativos a créditos suplementares ou especiais solicitados pelo Poder Legislativo, com indicação de recursos de redução de dotações </w:t>
      </w:r>
      <w:proofErr w:type="gramStart"/>
      <w:r w:rsidRPr="00165482">
        <w:rPr>
          <w:rFonts w:ascii="Times New Roman" w:eastAsia="Arial" w:hAnsi="Times New Roman" w:cs="Times New Roman"/>
        </w:rPr>
        <w:t>do próprio poder</w:t>
      </w:r>
      <w:proofErr w:type="gramEnd"/>
      <w:r w:rsidRPr="00165482">
        <w:rPr>
          <w:rFonts w:ascii="Times New Roman" w:eastAsia="Arial" w:hAnsi="Times New Roman" w:cs="Times New Roman"/>
        </w:rPr>
        <w:t>, serão encaminhados à Câmara Municipal no prazo de até 10 (dez) dias, a contar do recebimento da solicitação.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8º As solicitações de que trata o §7º serão acompanhadas da exposição de motivos de que trata o § 2º deste artigo.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9º O Poder Executivo poderá realizar suplementações e/ou transposição de dotações, durante o Exercício de 2020, até o percentual de 30% (trinta por cento) da respectiva despesa fixada.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10</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Não são computados no limite do parágrafo anteriores os créditos suplementares decorrentes de Emendas Orçamentária da União e Convênios de repasses a fundo perdido.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28. No âmbito do Poder Legislativo, a abertura de créditos suplementares autorizados na Lei Orçamentária de 2020, com indicação de recursos compensatórios do próprio órgão, nos termos do art. 43, § 1º, inciso III, da Lei Federal nº 4.320/1964, proceder-se-á por ato do Presidente da Câmara dos Vereadores.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29. A reabertura dos créditos especiais e extraordinários, conforme disposto no art. 167, § 2º, da Constituição Federal, será efetivada, quando necessária, até 31 de</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maio de 2020.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30. O Poder Executivo poderá, mediante Decreto, transpor, remanejar, transferir ou utilizar, total ou parcialmente, as dotações orçamentárias aprovadas na Lei Orçamentária </w:t>
      </w:r>
      <w:r w:rsidRPr="00165482">
        <w:rPr>
          <w:rFonts w:ascii="Times New Roman" w:eastAsia="Arial" w:hAnsi="Times New Roman" w:cs="Times New Roman"/>
        </w:rPr>
        <w:lastRenderedPageBreak/>
        <w:t>de 2020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jc w:val="center"/>
        <w:rPr>
          <w:rFonts w:ascii="Times New Roman" w:eastAsia="Arial" w:hAnsi="Times New Roman" w:cs="Times New Roman"/>
          <w:b/>
        </w:rPr>
      </w:pPr>
      <w:bookmarkStart w:id="9" w:name="_17dp8vu" w:colFirst="0" w:colLast="0"/>
      <w:bookmarkEnd w:id="9"/>
      <w:r w:rsidRPr="00165482">
        <w:rPr>
          <w:rFonts w:ascii="Times New Roman" w:eastAsia="Arial" w:hAnsi="Times New Roman" w:cs="Times New Roman"/>
          <w:b/>
        </w:rPr>
        <w:t>Seção V - Da Destinação de Recursos Públicos a Pessoas Físicas e Jurídicas</w:t>
      </w:r>
    </w:p>
    <w:p w:rsid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t>Subseção I - Das Subvenções Econômicas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Em atendimento ao disposto no art. 19 da Lei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4.320/1964, a destinação de recursos às entidades privadas com fins lucrativos de que trata o </w:t>
      </w:r>
      <w:r w:rsidRPr="00165482">
        <w:rPr>
          <w:rFonts w:ascii="Times New Roman" w:eastAsia="Arial" w:hAnsi="Times New Roman" w:cs="Times New Roman"/>
          <w:i/>
        </w:rPr>
        <w:t>caput</w:t>
      </w:r>
      <w:r w:rsidRPr="00165482">
        <w:rPr>
          <w:rFonts w:ascii="Times New Roman" w:eastAsia="Arial" w:hAnsi="Times New Roman" w:cs="Times New Roman"/>
        </w:rPr>
        <w:t xml:space="preserve"> somente poderá ocorrer por meio de subvenções econômicas, sendo vedada a transferência a título de contribuições ou auxílios para despesas de capital.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O orçamento poderá prever a celebração de termos de fomento, colaboração e cooperação com entidades sem fins lucrativos, consoante disposto na Lei Federal nº 13.019, </w:t>
      </w:r>
      <w:r w:rsidRPr="00165482">
        <w:rPr>
          <w:rFonts w:ascii="Times New Roman" w:eastAsia="Arial" w:hAnsi="Times New Roman" w:cs="Times New Roman"/>
        </w:rPr>
        <w:lastRenderedPageBreak/>
        <w:t>de 31 de julho de 2014 e regulamentação do tema em nível local, atendendo às normas estabelecidas pelo Tribunal de Contas do Estado do Rio Grande do Sul</w:t>
      </w:r>
      <w:r w:rsidRPr="00165482">
        <w:rPr>
          <w:rFonts w:ascii="Times New Roman" w:hAnsi="Times New Roman" w:cs="Times New Roman"/>
        </w:rPr>
        <w:t>.</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33.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t>Subseção II - Das Subvenções Sociais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34. A transferência de recursos a título de subvenções sociais, nos termos dos </w:t>
      </w:r>
      <w:proofErr w:type="spellStart"/>
      <w:r w:rsidRPr="00165482">
        <w:rPr>
          <w:rFonts w:ascii="Times New Roman" w:eastAsia="Arial" w:hAnsi="Times New Roman" w:cs="Times New Roman"/>
        </w:rPr>
        <w:t>arts</w:t>
      </w:r>
      <w:proofErr w:type="spellEnd"/>
      <w:r w:rsidRPr="00165482">
        <w:rPr>
          <w:rFonts w:ascii="Times New Roman" w:eastAsia="Arial" w:hAnsi="Times New Roman" w:cs="Times New Roman"/>
        </w:rPr>
        <w:t>. 12, § 3º, I, 16 e 17 da Lei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4.320/1964, </w:t>
      </w:r>
      <w:proofErr w:type="gramStart"/>
      <w:r w:rsidRPr="00165482">
        <w:rPr>
          <w:rFonts w:ascii="Times New Roman" w:eastAsia="Arial" w:hAnsi="Times New Roman" w:cs="Times New Roman"/>
        </w:rPr>
        <w:t>atenderá</w:t>
      </w:r>
      <w:proofErr w:type="gramEnd"/>
      <w:r w:rsidRPr="00165482">
        <w:rPr>
          <w:rFonts w:ascii="Times New Roman" w:eastAsia="Arial" w:hAnsi="Times New Roman" w:cs="Times New Roman"/>
        </w:rPr>
        <w:t xml:space="preserve"> às entidades privadas sem fins lucrativos que exerçam atividades de natureza continuada nas áreas de cultura, assistência social, saúde e educação.</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t>Subseção III - Das Contribuições Correntes e de Capital</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35. A transferência de recursos a título de contribuição corrente somente será destinada a entidades sem fins lucrativos que preencham uma das seguintes condições: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estejam autorizadas em lei que identifique expressamente a entidade beneficiária;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 - estejam nominalmente identificadas na Lei Orçamentária de 2020; </w:t>
      </w:r>
      <w:proofErr w:type="gramStart"/>
      <w:r w:rsidRPr="00165482">
        <w:rPr>
          <w:rFonts w:ascii="Times New Roman" w:eastAsia="Arial" w:hAnsi="Times New Roman" w:cs="Times New Roman"/>
        </w:rPr>
        <w:t>ou</w:t>
      </w:r>
      <w:proofErr w:type="gramEnd"/>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sejam selecionadas para execução, em parceria com a Administração Pública Municipal, de atividades ou projetos que contribuam diretamente para o alcance de diretrizes, objetivos e metas previstas no Plano Plurianual.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No caso dos incisos I e II do </w:t>
      </w:r>
      <w:r w:rsidRPr="00165482">
        <w:rPr>
          <w:rFonts w:ascii="Times New Roman" w:eastAsia="Arial" w:hAnsi="Times New Roman" w:cs="Times New Roman"/>
          <w:i/>
        </w:rPr>
        <w:t>caput</w:t>
      </w:r>
      <w:r w:rsidRPr="00165482">
        <w:rPr>
          <w:rFonts w:ascii="Times New Roman" w:eastAsia="Arial" w:hAnsi="Times New Roman" w:cs="Times New Roman"/>
        </w:rPr>
        <w:t>, a transferência dependerá da formalização do ajuste, observadas as exigências legais aplicáveis à espécie.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36. A alocação de recursos para entidades privadas sem fins lucrativos, a título de contribuições de capital, fica condicionada à autorização em lei especial anterior de que trata o art. 12, § 6</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da Lei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4.320/1964.</w:t>
      </w:r>
    </w:p>
    <w:p w:rsid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lastRenderedPageBreak/>
        <w:t>Subseção IV - Dos Auxílios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37. A transferência de recursos a título de auxílios, previstos no art. 12, § 6</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da Lei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4.320/1964, somente poderá ser realizada para entidades privadas sem fins lucrativos que sejam:</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de atendimento direto e gratuito ao público e voltadas para a educação básica;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para o desenvolvimento de programas voltados a manutenção e preservação do Meio Ambiente;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voltadas a ações de saúde e de atendimento direto e gratuito ao público, prestadas por entidades sem fins lucrativos que sejam certificadas como entidades beneficentes de assistência social na área de saúde;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qualificadas como Organização da Sociedade Civil de Interesse Público - OSCIP, com termo de parceria firmada com o Poder Público Municipal, de acordo com a Lei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9.790/1999, e que participem da execução de programas constantes no plano plurianual, devendo a destinação de recursos </w:t>
      </w:r>
      <w:proofErr w:type="gramStart"/>
      <w:r w:rsidRPr="00165482">
        <w:rPr>
          <w:rFonts w:ascii="Times New Roman" w:eastAsia="Arial" w:hAnsi="Times New Roman" w:cs="Times New Roman"/>
        </w:rPr>
        <w:t>guardar</w:t>
      </w:r>
      <w:proofErr w:type="gramEnd"/>
      <w:r w:rsidRPr="00165482">
        <w:rPr>
          <w:rFonts w:ascii="Times New Roman" w:eastAsia="Arial" w:hAnsi="Times New Roman" w:cs="Times New Roman"/>
        </w:rPr>
        <w:t xml:space="preserve"> conformidade com os objetivos sociais da entidade;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qualificadas como Organizações Sociais – OS, com contrato de gestão celebrado com o Poder Público Municipal, de acordo com a Lei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qualificadas para o desenvolvimento de atividades esportivas que contribuam para a formação e capacitação de atletas;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 - destinada a atender, assegurar e a promover o exercício dos direitos e das liberdades fundamentais por pessoa com deficiência, visando à sua habilitação, reabilitação e integração social e cidadania, nos termos da Lei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13.146/2015;</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VIII - constituídas sob a forma de associações ou cooperativas formadas exclusivamente por pessoas físicas em situação de risco social, reconhecidas pelo poder público como catadores de materiais recicláveis e/ou reutilizáveis, cujas ações estejam </w:t>
      </w:r>
      <w:r w:rsidRPr="00165482">
        <w:rPr>
          <w:rFonts w:ascii="Times New Roman" w:eastAsia="Arial" w:hAnsi="Times New Roman" w:cs="Times New Roman"/>
        </w:rPr>
        <w:lastRenderedPageBreak/>
        <w:t>contempladas no Plano Municipal de Gerenciamento de Resíduos Sólidos, de que trata a Lei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12.305/2010, regulamentada pelo Decreto Federal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7.404/2010; </w:t>
      </w:r>
      <w:proofErr w:type="gramStart"/>
      <w:r w:rsidRPr="00165482">
        <w:rPr>
          <w:rFonts w:ascii="Times New Roman" w:eastAsia="Arial" w:hAnsi="Times New Roman" w:cs="Times New Roman"/>
        </w:rPr>
        <w:t>e</w:t>
      </w:r>
      <w:proofErr w:type="gramEnd"/>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IX - voltadas ao atendimento direto e gratuito ao público na área de assistência social que: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 se destinem a pessoas idosas, crianças e adolescentes em situação de vulnerabilidade social, risco pessoal e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b) sejam voltadas ao atendimento de pessoas em situação de vulnerabilidade social, violação de direito ou diretamente alcançadas por programas e ações de combate à pobreza e geração de trabalho e renda;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No caso do inciso I, a transferência de recursos públicos deve ser obrigatoriamente justificada e vinculada ao plano de expansão da oferta pública na respectiva etapa e modalidade de educação.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No caso do inciso IV, as transferências serão efetuadas por meio de termo de parceria, caso em que deverá ser observada a legislação específica pertinente a essas entidades e processo seletivo de ampla divulgação.</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t>Subseção V - Das Disposições Gerais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38. Sem prejuízo das disposições contidas nos </w:t>
      </w:r>
      <w:proofErr w:type="spellStart"/>
      <w:r w:rsidRPr="00165482">
        <w:rPr>
          <w:rFonts w:ascii="Times New Roman" w:eastAsia="Arial" w:hAnsi="Times New Roman" w:cs="Times New Roman"/>
        </w:rPr>
        <w:t>arts</w:t>
      </w:r>
      <w:proofErr w:type="spellEnd"/>
      <w:r w:rsidRPr="00165482">
        <w:rPr>
          <w:rFonts w:ascii="Times New Roman" w:eastAsia="Arial" w:hAnsi="Times New Roman" w:cs="Times New Roman"/>
        </w:rPr>
        <w:t>. 39, 40, 41 e 42 desta Lei, a transferência de recursos prevista na Lei Federal n</w:t>
      </w:r>
      <w:r w:rsidRPr="00165482">
        <w:rPr>
          <w:rFonts w:ascii="Times New Roman" w:eastAsia="Arial" w:hAnsi="Times New Roman" w:cs="Times New Roman"/>
          <w:u w:val="single"/>
          <w:vertAlign w:val="superscript"/>
        </w:rPr>
        <w:t>o</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4.320/1964, a entidade privada sem fins lucrativos, dependerá ainda 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execução da despesa na modalidade de aplicação “50 – Transferências a Instituições Privadas sem fins lucrativos” e nos elementos de despesa “41 - Contribuições”, “42 - Auxílio” ou “43 - Subvenções Sociais”;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estar regularmente constituída, assim considerado: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 no mínimo 01 (um)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b) tenha escrituração de acordo com os princípios fundamentais de contabilidade e com as Normas Brasileiras de Contabilidade;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III – ter apresentado as prestações de contas de recursos anteriormente recebidos, nos prazos e condições fixados na legislação e no convênio ou termo de parceria, contrato ou instrumento </w:t>
      </w:r>
      <w:proofErr w:type="gramStart"/>
      <w:r w:rsidRPr="00165482">
        <w:rPr>
          <w:rFonts w:ascii="Times New Roman" w:eastAsia="Arial" w:hAnsi="Times New Roman" w:cs="Times New Roman"/>
        </w:rPr>
        <w:t>congênere celebrados</w:t>
      </w:r>
      <w:proofErr w:type="gramEnd"/>
      <w:r w:rsidRPr="00165482">
        <w:rPr>
          <w:rFonts w:ascii="Times New Roman" w:eastAsia="Arial" w:hAnsi="Times New Roman" w:cs="Times New Roman"/>
        </w:rPr>
        <w:t>;</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IV – inexistir prestação de contas rejeitada pela Administração Pública nos últimos cinco anos, exceto se a apreciação das contas estiver pendente de decisão sobre recurso com efeito suspensivo, for sanada a irregularidade ou quitados os débitos ou reconsiderada a decisão pela </w:t>
      </w:r>
      <w:proofErr w:type="gramStart"/>
      <w:r w:rsidRPr="00165482">
        <w:rPr>
          <w:rFonts w:ascii="Times New Roman" w:eastAsia="Arial" w:hAnsi="Times New Roman" w:cs="Times New Roman"/>
        </w:rPr>
        <w:t>rejeição</w:t>
      </w:r>
      <w:proofErr w:type="gramEnd"/>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não ter como dirigente pessoa que: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 seja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b) incida em quaisquer das hipóteses de inelegibilidade previstas no art. 1</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inciso I, da Lei Complementar </w:t>
      </w:r>
      <w:proofErr w:type="gramStart"/>
      <w:r w:rsidRPr="00165482">
        <w:rPr>
          <w:rFonts w:ascii="Times New Roman" w:eastAsia="Arial" w:hAnsi="Times New Roman" w:cs="Times New Roman"/>
        </w:rPr>
        <w:t>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64</w:t>
      </w:r>
      <w:proofErr w:type="gramEnd"/>
      <w:r w:rsidRPr="00165482">
        <w:rPr>
          <w:rFonts w:ascii="Times New Roman" w:eastAsia="Arial" w:hAnsi="Times New Roman" w:cs="Times New Roman"/>
        </w:rPr>
        <w:t>, de 18 de maio de 1990;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c) cujas contas relativas a convênios, termos de parcerias, contratos ou instrumentos congêneres tenham sido julgadas irregulares ou rejeitadas por Tribunal ou Conselho de Contas de qualquer esfera da Federação, em decisão irrecorrível, nos últimos </w:t>
      </w:r>
      <w:proofErr w:type="gramStart"/>
      <w:r w:rsidRPr="00165482">
        <w:rPr>
          <w:rFonts w:ascii="Times New Roman" w:eastAsia="Arial" w:hAnsi="Times New Roman" w:cs="Times New Roman"/>
        </w:rPr>
        <w:t>8</w:t>
      </w:r>
      <w:proofErr w:type="gramEnd"/>
      <w:r w:rsidRPr="00165482">
        <w:rPr>
          <w:rFonts w:ascii="Times New Roman" w:eastAsia="Arial" w:hAnsi="Times New Roman" w:cs="Times New Roman"/>
        </w:rPr>
        <w:t xml:space="preserve"> (oito) anos;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d) tenha sido julgada responsável por falta grave e inabilitada para o exercício de cargo em comissão ou função de confiança, enquanto durar a inabilitação;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e) tenha sido considerada responsável por ato de improbidade, enquanto durarem os prazos estabelecidos nos incisos I, II e III do art. 12 da Lei no</w:t>
      </w:r>
      <w:r w:rsidRPr="00165482">
        <w:rPr>
          <w:rFonts w:ascii="Times New Roman" w:eastAsia="Arial" w:hAnsi="Times New Roman" w:cs="Times New Roman"/>
          <w:u w:val="single"/>
        </w:rPr>
        <w:t> </w:t>
      </w:r>
      <w:r w:rsidRPr="00165482">
        <w:rPr>
          <w:rFonts w:ascii="Times New Roman" w:eastAsia="Arial" w:hAnsi="Times New Roman" w:cs="Times New Roman"/>
        </w:rPr>
        <w:t xml:space="preserve">8.429, de </w:t>
      </w:r>
      <w:proofErr w:type="gramStart"/>
      <w:r w:rsidRPr="00165482">
        <w:rPr>
          <w:rFonts w:ascii="Times New Roman" w:eastAsia="Arial" w:hAnsi="Times New Roman" w:cs="Times New Roman"/>
        </w:rPr>
        <w:t>2</w:t>
      </w:r>
      <w:proofErr w:type="gramEnd"/>
      <w:r w:rsidRPr="00165482">
        <w:rPr>
          <w:rFonts w:ascii="Times New Roman" w:eastAsia="Arial" w:hAnsi="Times New Roman" w:cs="Times New Roman"/>
        </w:rPr>
        <w:t xml:space="preserve"> de junho de 1992.</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VI – formalização de processo administrativo, no qual </w:t>
      </w:r>
      <w:proofErr w:type="gramStart"/>
      <w:r w:rsidRPr="00165482">
        <w:rPr>
          <w:rFonts w:ascii="Times New Roman" w:eastAsia="Arial" w:hAnsi="Times New Roman" w:cs="Times New Roman"/>
        </w:rPr>
        <w:t>fiquem</w:t>
      </w:r>
      <w:proofErr w:type="gramEnd"/>
      <w:r w:rsidRPr="00165482">
        <w:rPr>
          <w:rFonts w:ascii="Times New Roman" w:eastAsia="Arial" w:hAnsi="Times New Roman" w:cs="Times New Roman"/>
        </w:rPr>
        <w:t xml:space="preserve"> demonstrados formalmente o cumprimento das exigências legais em razão do regime jurídico aplicável à espécie, além da emissão do parecer do órgão técnico da Administração Pública e da emissão de parecer jurídico do órgão de assessoria ou consultoria jurídica da Administração Pública acerca da possibilidade de celebração da parceria.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Caberá à Secretaria da Administração verificar e declarar a </w:t>
      </w:r>
      <w:proofErr w:type="gramStart"/>
      <w:r w:rsidRPr="00165482">
        <w:rPr>
          <w:rFonts w:ascii="Times New Roman" w:eastAsia="Arial" w:hAnsi="Times New Roman" w:cs="Times New Roman"/>
        </w:rPr>
        <w:t>implementação</w:t>
      </w:r>
      <w:proofErr w:type="gramEnd"/>
      <w:r w:rsidRPr="00165482">
        <w:rPr>
          <w:rFonts w:ascii="Times New Roman" w:eastAsia="Arial" w:hAnsi="Times New Roman" w:cs="Times New Roman"/>
        </w:rPr>
        <w:t xml:space="preserve"> das condições previstas neste artigo e demais requisitos estabelecidos nesta </w:t>
      </w:r>
      <w:r w:rsidRPr="00165482">
        <w:rPr>
          <w:rFonts w:ascii="Times New Roman" w:eastAsia="Arial" w:hAnsi="Times New Roman" w:cs="Times New Roman"/>
        </w:rPr>
        <w:lastRenderedPageBreak/>
        <w:t>seção, comunicando à Unidade Central de Controle Interno eventuais irregularidades verificadas.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39. É necessária a contrapartida para as transferências previstas na forma dos artigos 39, 40, 41 e 42, que poderá ser atendida por meio de recursos financeiros ou de bens ou serviços economicamente mensuráveis, cuja expressão monetária será obrigatoriamente identificada no termo de colaboração ou de fomento.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 – nome e CNPJ da entidade;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 – nome, função e CPF dos dirigentes;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área de atuação;</w:t>
      </w:r>
      <w:proofErr w:type="gramStart"/>
      <w:r w:rsidRPr="00165482">
        <w:rPr>
          <w:rFonts w:ascii="Times New Roman" w:eastAsia="Arial" w:hAnsi="Times New Roman" w:cs="Times New Roman"/>
        </w:rPr>
        <w:t xml:space="preserve">  </w:t>
      </w:r>
    </w:p>
    <w:p w:rsidR="00165482" w:rsidRPr="00165482" w:rsidRDefault="00165482" w:rsidP="00165482">
      <w:pPr>
        <w:pStyle w:val="Normal1"/>
        <w:spacing w:before="0" w:after="0"/>
        <w:rPr>
          <w:rFonts w:ascii="Times New Roman" w:eastAsia="Arial" w:hAnsi="Times New Roman" w:cs="Times New Roman"/>
        </w:rPr>
      </w:pPr>
      <w:proofErr w:type="gramEnd"/>
      <w:r w:rsidRPr="00165482">
        <w:rPr>
          <w:rFonts w:ascii="Times New Roman" w:eastAsia="Arial" w:hAnsi="Times New Roman" w:cs="Times New Roman"/>
        </w:rPr>
        <w:t xml:space="preserve">V – endereço da sede;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V – data, objeto, valor e número do convênio, termo de parceria, contrato ou instrumento congênere; </w:t>
      </w:r>
    </w:p>
    <w:p w:rsidR="00165482" w:rsidRPr="00165482" w:rsidRDefault="00165482" w:rsidP="00165482">
      <w:pPr>
        <w:pStyle w:val="Normal1"/>
        <w:spacing w:before="0" w:after="0"/>
        <w:ind w:left="567" w:firstLine="0"/>
        <w:rPr>
          <w:rFonts w:ascii="Times New Roman" w:eastAsia="Arial" w:hAnsi="Times New Roman" w:cs="Times New Roman"/>
        </w:rPr>
      </w:pPr>
      <w:r w:rsidRPr="00165482">
        <w:rPr>
          <w:rFonts w:ascii="Times New Roman" w:eastAsia="Arial" w:hAnsi="Times New Roman" w:cs="Times New Roman"/>
        </w:rPr>
        <w:t xml:space="preserve">VI – valores transferidos e respectivas datas. </w:t>
      </w:r>
    </w:p>
    <w:p w:rsidR="00165482" w:rsidRPr="00165482" w:rsidRDefault="00165482" w:rsidP="00165482">
      <w:pPr>
        <w:pStyle w:val="Normal1"/>
        <w:spacing w:before="0" w:after="0"/>
        <w:ind w:left="567" w:firstLine="0"/>
        <w:rPr>
          <w:rFonts w:ascii="Times New Roman" w:eastAsia="Arial" w:hAnsi="Times New Roman" w:cs="Times New Roman"/>
        </w:rPr>
      </w:pPr>
      <w:r w:rsidRPr="00165482">
        <w:rPr>
          <w:rFonts w:ascii="Times New Roman" w:eastAsia="Arial" w:hAnsi="Times New Roman" w:cs="Times New Roman"/>
          <w:sz w:val="12"/>
          <w:szCs w:val="12"/>
        </w:rPr>
        <w:br/>
      </w:r>
      <w:r w:rsidRPr="00165482">
        <w:rPr>
          <w:rFonts w:ascii="Times New Roman" w:eastAsia="Arial" w:hAnsi="Times New Roman" w:cs="Times New Roman"/>
        </w:rPr>
        <w:t>Art. 41. Não serão consideradas subvenções, auxílios ou contribuições, o rateio das despesas decorrentes da participação do Município em Consórcios Públicos instituído nos termos da Lei Federal nº 11.107/2005.</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Art. 43. Toda movimentação de recursos relativos às subvenções, contribuições e auxílios de que trata esta Seção, por parte das entidades beneficiárias, somente será realizada observando-se os seguintes preceitos: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depósito e movimentação em conta bancária específica para cada instrumento de transferência;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desembolsos mediante documento bancário, por meio do qual se faça crédito na conta bancária de titularidade do fornecedor ou prestador de serviços.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Em </w:t>
      </w:r>
      <w:proofErr w:type="gramStart"/>
      <w:r w:rsidRPr="00165482">
        <w:rPr>
          <w:rFonts w:ascii="Times New Roman" w:eastAsia="Arial" w:hAnsi="Times New Roman" w:cs="Times New Roman"/>
        </w:rPr>
        <w:t>sendo formalmente demonstrada</w:t>
      </w:r>
      <w:proofErr w:type="gramEnd"/>
      <w:r w:rsidRPr="00165482">
        <w:rPr>
          <w:rFonts w:ascii="Times New Roman" w:eastAsia="Arial" w:hAnsi="Times New Roman" w:cs="Times New Roman"/>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10" w:name="_3rdcrjn" w:colFirst="0" w:colLast="0"/>
      <w:bookmarkEnd w:id="10"/>
      <w:proofErr w:type="gramStart"/>
      <w:r w:rsidRPr="00165482">
        <w:rPr>
          <w:rFonts w:ascii="Times New Roman" w:eastAsia="Arial" w:hAnsi="Times New Roman" w:cs="Times New Roman"/>
          <w:b/>
        </w:rPr>
        <w:t>Seção VI</w:t>
      </w:r>
      <w:proofErr w:type="gramEnd"/>
      <w:r w:rsidRPr="00165482">
        <w:rPr>
          <w:rFonts w:ascii="Times New Roman" w:eastAsia="Arial" w:hAnsi="Times New Roman" w:cs="Times New Roman"/>
          <w:b/>
        </w:rPr>
        <w:t xml:space="preserve"> - Dos Empréstimos, Financiamentos e Refinanciamentos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44. Observado o disposto no art. 27 da LC nº 101/2000, a concessão de empréstimos e financiamentos destinados a pessoas físicas e jurídicas fica condicionada ao pagamento de juros não inferiores a 12% (doze por cento) ao ano, ou ao custo de captação e também às seguintes exigências: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concessão através de fundo rotativo ou programa governamental específico;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pré-seleção e aprovação dos beneficiários pelo Poder Público;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formalização de contrato;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assunção, pelo mutuário, dos encargos financeiros, eventuais comissões, taxas e outras despesas cobradas pelo agente financeiro, quando for o caso.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Através de lei específica, poderá ser concedido subsídio para o pagamento dos empréstimos e financiamentos de que trata 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w:t>
      </w:r>
    </w:p>
    <w:p w:rsid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As prorrogações e composições de dívidas decorrentes de empréstimos, financiamentos e refinanciamentos concedidos com recursos do Município dependem de autorização expressa em lei específica.</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rPr>
          <w:rFonts w:ascii="Times New Roman" w:eastAsia="Arial" w:hAnsi="Times New Roman" w:cs="Times New Roman"/>
          <w:b/>
        </w:rPr>
      </w:pPr>
      <w:bookmarkStart w:id="11" w:name="_26in1rg" w:colFirst="0" w:colLast="0"/>
      <w:bookmarkEnd w:id="11"/>
      <w:r>
        <w:rPr>
          <w:rFonts w:ascii="Times New Roman" w:eastAsia="Arial" w:hAnsi="Times New Roman" w:cs="Times New Roman"/>
          <w:b/>
        </w:rPr>
        <w:lastRenderedPageBreak/>
        <w:t xml:space="preserve">      </w:t>
      </w:r>
      <w:proofErr w:type="gramStart"/>
      <w:r w:rsidRPr="00165482">
        <w:rPr>
          <w:rFonts w:ascii="Times New Roman" w:eastAsia="Arial" w:hAnsi="Times New Roman" w:cs="Times New Roman"/>
          <w:b/>
        </w:rPr>
        <w:t>Capítulo VI</w:t>
      </w:r>
      <w:proofErr w:type="gramEnd"/>
      <w:r w:rsidRPr="00165482">
        <w:rPr>
          <w:rFonts w:ascii="Times New Roman" w:eastAsia="Arial" w:hAnsi="Times New Roman" w:cs="Times New Roman"/>
          <w:b/>
        </w:rPr>
        <w:t xml:space="preserve"> - Das Disposições Relativas à Dívida Pública Municipal</w:t>
      </w:r>
    </w:p>
    <w:p w:rsidR="00165482" w:rsidRPr="00165482" w:rsidRDefault="00165482" w:rsidP="00165482">
      <w:pPr>
        <w:pStyle w:val="Normal1"/>
        <w:spacing w:before="0" w:after="0"/>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45. A lei orçamentária anual garantirá recursos para pagamento da dívida pública municipal, nos termos dos compromissos firmados, inclusive com a previdência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165482" w:rsidRPr="00165482" w:rsidRDefault="00165482" w:rsidP="00165482">
      <w:pPr>
        <w:pStyle w:val="Normal1"/>
        <w:spacing w:before="0" w:after="0"/>
        <w:ind w:firstLine="0"/>
        <w:jc w:val="center"/>
        <w:rPr>
          <w:rFonts w:ascii="Times New Roman" w:eastAsia="Arial" w:hAnsi="Times New Roman" w:cs="Times New Roman"/>
        </w:rPr>
      </w:pPr>
    </w:p>
    <w:p w:rsidR="00165482" w:rsidRDefault="00165482" w:rsidP="00165482">
      <w:pPr>
        <w:pStyle w:val="Normal1"/>
        <w:spacing w:before="0" w:after="0"/>
        <w:ind w:firstLine="709"/>
        <w:jc w:val="center"/>
        <w:rPr>
          <w:rFonts w:ascii="Times New Roman" w:eastAsia="Arial" w:hAnsi="Times New Roman" w:cs="Times New Roman"/>
          <w:b/>
        </w:rPr>
      </w:pPr>
      <w:bookmarkStart w:id="12" w:name="_lnxbz9" w:colFirst="0" w:colLast="0"/>
      <w:bookmarkEnd w:id="12"/>
      <w:r w:rsidRPr="00165482">
        <w:rPr>
          <w:rFonts w:ascii="Times New Roman" w:eastAsia="Arial" w:hAnsi="Times New Roman" w:cs="Times New Roman"/>
          <w:b/>
        </w:rPr>
        <w:t>Capítulo VII - Das Disposições Relativas às Despesas com Pessoal</w:t>
      </w:r>
    </w:p>
    <w:p w:rsidR="00165482" w:rsidRDefault="00165482" w:rsidP="00165482">
      <w:pPr>
        <w:pStyle w:val="Normal1"/>
        <w:spacing w:before="0" w:after="0"/>
        <w:ind w:firstLine="709"/>
        <w:jc w:val="center"/>
        <w:rPr>
          <w:rFonts w:ascii="Times New Roman" w:eastAsia="Arial" w:hAnsi="Times New Roman" w:cs="Times New Roman"/>
          <w:b/>
        </w:rPr>
      </w:pPr>
      <w:proofErr w:type="gramStart"/>
      <w:r w:rsidRPr="00165482">
        <w:rPr>
          <w:rFonts w:ascii="Times New Roman" w:eastAsia="Arial" w:hAnsi="Times New Roman" w:cs="Times New Roman"/>
          <w:b/>
        </w:rPr>
        <w:t>e</w:t>
      </w:r>
      <w:proofErr w:type="gramEnd"/>
      <w:r w:rsidRPr="00165482">
        <w:rPr>
          <w:rFonts w:ascii="Times New Roman" w:eastAsia="Arial" w:hAnsi="Times New Roman" w:cs="Times New Roman"/>
          <w:b/>
        </w:rPr>
        <w:t xml:space="preserve"> Encargos Sociais</w:t>
      </w:r>
    </w:p>
    <w:p w:rsidR="00165482" w:rsidRPr="00165482" w:rsidRDefault="00165482" w:rsidP="00165482">
      <w:pPr>
        <w:pStyle w:val="Normal1"/>
        <w:spacing w:before="0" w:after="0"/>
        <w:ind w:firstLine="709"/>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47. No exercício de 2020, as despesas globais com pessoal e encargos sociais do Município, dos Poderes Executivo e </w:t>
      </w:r>
      <w:proofErr w:type="gramStart"/>
      <w:r w:rsidRPr="00165482">
        <w:rPr>
          <w:rFonts w:ascii="Times New Roman" w:eastAsia="Arial" w:hAnsi="Times New Roman" w:cs="Times New Roman"/>
        </w:rPr>
        <w:t>Legislativo, compreendidas</w:t>
      </w:r>
      <w:proofErr w:type="gramEnd"/>
      <w:r w:rsidRPr="00165482">
        <w:rPr>
          <w:rFonts w:ascii="Times New Roman" w:eastAsia="Arial" w:hAnsi="Times New Roman" w:cs="Times New Roman"/>
        </w:rPr>
        <w:t xml:space="preserve"> as entidades mencionadas no art. 10 dessa Lei, deverão obedecer às disposições da LC nº 101/2000.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Os Poderes Executivo e Legislativo terão como base de projeção de suas propostas orçamentárias, relativo </w:t>
      </w:r>
      <w:proofErr w:type="gramStart"/>
      <w:r w:rsidRPr="00165482">
        <w:rPr>
          <w:rFonts w:ascii="Times New Roman" w:eastAsia="Arial" w:hAnsi="Times New Roman" w:cs="Times New Roman"/>
        </w:rPr>
        <w:t>a</w:t>
      </w:r>
      <w:proofErr w:type="gramEnd"/>
      <w:r w:rsidRPr="00165482">
        <w:rPr>
          <w:rFonts w:ascii="Times New Roman" w:eastAsia="Arial" w:hAnsi="Times New Roman" w:cs="Times New Roman"/>
        </w:rPr>
        <w:t xml:space="preserve"> pessoal e encargos sociais, a despesa com a folha de pagamento do mês de setembro de 2019, compatibilizada com as despesas apresentadas até esse mês e os eventuais acréscimos legais, inclusive a revisão geral anual da remuneração dos servidores públicos, o crescimento vegetativo, e o disposto no art. 50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A revisão </w:t>
      </w:r>
      <w:proofErr w:type="gramStart"/>
      <w:r w:rsidRPr="00165482">
        <w:rPr>
          <w:rFonts w:ascii="Times New Roman" w:eastAsia="Arial" w:hAnsi="Times New Roman" w:cs="Times New Roman"/>
        </w:rPr>
        <w:t>geral anual da remuneração dos servidores públicos municipais</w:t>
      </w:r>
      <w:proofErr w:type="gramEnd"/>
      <w:r w:rsidRPr="00165482">
        <w:rPr>
          <w:rFonts w:ascii="Times New Roman" w:eastAsia="Arial" w:hAnsi="Times New Roman" w:cs="Times New Roman"/>
        </w:rPr>
        <w:t xml:space="preserve"> e do subsídio de que trata o § 4º do art. 39 da Constituição Federal, levará em conta, tanto quanto possível, a variação do poder aquisitivo da moeda nacional, segundo índices oficiais.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48. Para fins dos limites previstos no art. 19, inciso III, alíneas “a” e “b” da LC nº 101/2000, o cálculo das despesas com pessoal dos poderes executivo e legislativo deverá observar as prescrições da Instrução Normativa nº 18, de 22 de dezembro de 2015, do Tribunal de Contas do Estado, ou a norma que lhe for superveniente.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Parágrafo único. O Poder Legislativo</w:t>
      </w:r>
      <w:proofErr w:type="gramStart"/>
      <w:r w:rsidRPr="00165482">
        <w:rPr>
          <w:rFonts w:ascii="Times New Roman" w:eastAsia="Arial" w:hAnsi="Times New Roman" w:cs="Times New Roman"/>
        </w:rPr>
        <w:t>, observará</w:t>
      </w:r>
      <w:proofErr w:type="gramEnd"/>
      <w:r w:rsidRPr="00165482">
        <w:rPr>
          <w:rFonts w:ascii="Times New Roman" w:eastAsia="Arial" w:hAnsi="Times New Roman" w:cs="Times New Roman"/>
        </w:rPr>
        <w:t xml:space="preserve"> o cumprimento do disposto neste artigo, mediante ato da mesa diretora da Câmara Municipal.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50. O aumento da despesa com pessoal, em decorrência de quaisquer das medidas relacionadas no artigo 169, § 1º, da Constituição Federal, desde que observada </w:t>
      </w:r>
      <w:proofErr w:type="gramStart"/>
      <w:r w:rsidRPr="00165482">
        <w:rPr>
          <w:rFonts w:ascii="Times New Roman" w:eastAsia="Arial" w:hAnsi="Times New Roman" w:cs="Times New Roman"/>
        </w:rPr>
        <w:t>a</w:t>
      </w:r>
      <w:proofErr w:type="gramEnd"/>
      <w:r w:rsidRPr="00165482">
        <w:rPr>
          <w:rFonts w:ascii="Times New Roman" w:eastAsia="Arial" w:hAnsi="Times New Roman" w:cs="Times New Roman"/>
        </w:rPr>
        <w:t xml:space="preserve"> legislação vigente, respeitados os limites previstos nos artigos 20 e 22, parágrafo único, da LC nº 101/2000, e cumpridas as exigências previstas nos artigos 16 e 17 do referido diploma legal, fica autorizado para: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conceder vantagens e aumentar a remuneração de servidores;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criar e extinguir cargos públicos e alterar a estrutura de carreiras;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III – prover cargos efetivos, mediante concurso público, bem como efetuar contratações por tempo determinado para atender à necessidade temporária de excepcional interesse público, respeitada a legislação municipal vigente;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IV – prover cargos em comissão e funções de confiança;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 - melhorar a qualidade do serviço público mediante a valorização do servidor municipal, reconhecendo a função social do seu trabalho;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 - proporcionar o desenvolvimento profissional de servidores municipais, mediante a realização de programas de treinamento;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 - proporcionar o desenvolvimento pessoal dos servidores municipais, mediante a realização de programas informativos, educativos e culturais;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VIII - melhorar as condições de trabalho, equipamentos e infraestrutura, especialmente no que concerne à saúde, alimentação, transporte, segurança no trabalho e justa remuneração.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No caso dos incisos I, II, III e IV além dos requisitos estabelecidos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os projetos de lei deverão demonstrar, em sua exposição de motivos, para os efeitos dos artigos 16 e 17 da LC nº 101/2000, as seguintes informações: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 - declaração do ordenador de despesas de que há adequação orçamentária e financeira e compatibilidade com esta Lei e com o Plano Plurianual, devendo ser indicadas as naturezas das despesas e os programas de trabalho da Lei Orçamentária Anual que </w:t>
      </w:r>
      <w:r w:rsidRPr="00165482">
        <w:rPr>
          <w:rFonts w:ascii="Times New Roman" w:eastAsia="Arial" w:hAnsi="Times New Roman" w:cs="Times New Roman"/>
        </w:rPr>
        <w:lastRenderedPageBreak/>
        <w:t xml:space="preserve">contenha as dotações orçamentárias, detalhando os valores já utilizados e os saldos remanescentes.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No caso de provimento de cargos,</w:t>
      </w:r>
      <w:proofErr w:type="gramStart"/>
      <w:r w:rsidRPr="00165482">
        <w:rPr>
          <w:rFonts w:ascii="Times New Roman" w:eastAsia="Arial" w:hAnsi="Times New Roman" w:cs="Times New Roman"/>
        </w:rPr>
        <w:t xml:space="preserve">  </w:t>
      </w:r>
      <w:proofErr w:type="gramEnd"/>
      <w:r w:rsidRPr="00165482">
        <w:rPr>
          <w:rFonts w:ascii="Times New Roman" w:eastAsia="Arial" w:hAnsi="Times New Roman" w:cs="Times New Roman"/>
        </w:rPr>
        <w:t>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3º No caso de aumento de despesas com pessoal do Poder Legislativo, deverão ser obedecidos, adicionalmente, os limites fixados nos </w:t>
      </w:r>
      <w:proofErr w:type="spellStart"/>
      <w:r w:rsidRPr="00165482">
        <w:rPr>
          <w:rFonts w:ascii="Times New Roman" w:eastAsia="Arial" w:hAnsi="Times New Roman" w:cs="Times New Roman"/>
        </w:rPr>
        <w:t>arts</w:t>
      </w:r>
      <w:proofErr w:type="spellEnd"/>
      <w:r w:rsidRPr="00165482">
        <w:rPr>
          <w:rFonts w:ascii="Times New Roman" w:eastAsia="Arial" w:hAnsi="Times New Roman" w:cs="Times New Roman"/>
        </w:rPr>
        <w:t xml:space="preserve">. 29 e 29-A da Constituição Federal.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4º Ficam dispensados, da estimativa de impacto orçamentário e financeiro, atos de concessão de vantagens já previstas na legislação pertinente, de caráter meramente declaratório.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as situações de emergência ou de calamidade pública;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II – as situações de risco iminente à segurança de pessoas ou bens;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III – a relação custo-benefício se revelar mais favorável em relação </w:t>
      </w:r>
      <w:proofErr w:type="gramStart"/>
      <w:r w:rsidRPr="00165482">
        <w:rPr>
          <w:rFonts w:ascii="Times New Roman" w:eastAsia="Arial" w:hAnsi="Times New Roman" w:cs="Times New Roman"/>
        </w:rPr>
        <w:t>a</w:t>
      </w:r>
      <w:proofErr w:type="gramEnd"/>
      <w:r w:rsidRPr="00165482">
        <w:rPr>
          <w:rFonts w:ascii="Times New Roman" w:eastAsia="Arial" w:hAnsi="Times New Roman" w:cs="Times New Roman"/>
        </w:rPr>
        <w:t xml:space="preserve"> outra alternativa possível.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Parágrafo único. A autorização para a realização de serviço extraordinário, no âmbito do Poder Executivo, nas condições estabelecidas neste artigo, é de exclusiva competência do Secretário de cada pasta.</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13" w:name="_35nkun2" w:colFirst="0" w:colLast="0"/>
      <w:bookmarkEnd w:id="13"/>
      <w:r w:rsidRPr="00165482">
        <w:rPr>
          <w:rFonts w:ascii="Times New Roman" w:eastAsia="Arial" w:hAnsi="Times New Roman" w:cs="Times New Roman"/>
          <w:b/>
        </w:rPr>
        <w:t>Capítulo VIII - Das Alterações na Legislação Tributária</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52. As receitas serão estimadas e discriminadas: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 considerando a legislação tributária vigente até a data do envio do projeto de lei orçamentária à Câmara Municipal;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II - considerando, se for o caso, os efeitos das alterações na legislação tributária, resultantes de projetos de lei encaminhados à Câmara Municipal até a data de apresentação da proposta orçamentária de 2020, especialmente sobre: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 atualização da planta genérica de valores do Município;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b) revisão, atualização ou adequação da legislação sobre o Imposto Predial e Territorial Urbano, suas alíquotas, forma de cálculo, condições de pagamento, descontos e isenções, inclusive com relação à progressividade deste imposto;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c) revisão da legislação sobre o uso do solo, com redefinição dos limites da zona urbana municipal;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d) revisão da legislação referente ao Imposto Sobre Serviços de Qualquer Natureza;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e) revisão da legislação aplicável ao Imposto Sobre Transmissão Inter Vivos de Bens Imóveis e de Direitos Reais sobre Imóveis;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f) instituição de novas taxas pela prestação de serviços públicos e pelo exercício do poder de polícia;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g) revisão das isenções tributárias, para atender ao interesse público e à justiça social;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h) revisão das contribuições sociais, destinadas à seguridade social, cuja necessidade tenha sido evidenciada através de cálculo atuarial;</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i) demais incentivos e benefícios fiscais.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53. Caso não sejam aprovadas as modificações referidas no inciso II do art. 52, ou estas o sejam parcialmente, de forma a impedir a integralização dos recursos estimados, o Poder Executivo providenciará, conforme o caso, os ajustes necessários na programação da despesa, mediante Decreto.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a) aumento de receita proveniente de elevação de alíquota, ampliação da base de cálculo, majoração ou criação de tributo ou contribuição;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b) cancelamento, durante o período em que vigorar o benefício, de despesas em valor equivalente.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2º Em 2020, poderá ser considerado como aumento permanente de receita, para efeito do disposto neste artigo, o acréscimo que for observado na arrecadação dos tributos que são objeto de transferência constitucional, com base nos artigos 157 e 158 da Constituição Federal, em percentual que supere a variação do Índice Nacional de Preços ao Consumidor Amplo calculado pela Fundação Instituto Brasileiro de Geografia e Estatística - IBGE.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Não se sujeita às regras do §1º a homologação de pedidos de isenção, remissão ou anistia apresentados com base na legislação municipal preexistente.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jc w:val="center"/>
        <w:rPr>
          <w:rFonts w:ascii="Times New Roman" w:eastAsia="Arial" w:hAnsi="Times New Roman" w:cs="Times New Roman"/>
          <w:b/>
        </w:rPr>
      </w:pPr>
      <w:bookmarkStart w:id="14" w:name="_1ksv4uv" w:colFirst="0" w:colLast="0"/>
      <w:bookmarkEnd w:id="14"/>
      <w:r w:rsidRPr="00165482">
        <w:rPr>
          <w:rFonts w:ascii="Times New Roman" w:eastAsia="Arial" w:hAnsi="Times New Roman" w:cs="Times New Roman"/>
          <w:b/>
        </w:rPr>
        <w:t>Capítulo IX - Das Disposições Gerais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Art. 56.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Parágrafo único. A Lei Orçamentária anual, ou seus créditos adicionais, deverão contemplar recursos orçamentários suficientes para o atendimento das despesas de que trata 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lastRenderedPageBreak/>
        <w:t xml:space="preserve">Art. 57. As emendas ao projeto de lei orçamentária ou aos projetos de lei que a modifiquem deverão ser compatíveis com os programas e objetivos da Lei Municipal n. 2684/2017 e 2685/2017 com as diretrizes, disposições, prioridades e metas desta Lei.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1º Não serão admitidas, com a ressalva do inciso III do § 3º do art. 166 da Constituição Federal, as emendas que incidam sobre: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 pessoal e encargos sociais 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b) serviço da dívida.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Também não serão admitidas as emendas que acarretem a alteração dos limites constitucionais previstos para os gastos com a manutenção e desenvolvimento do ensino e com as ações e serviços públicos de saúde.</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3º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4º as emendas que adicionarem recursos a título de subvenções, auxílios e contribuições a serem realizadas pelo Município, somente serão executadas se a entidade beneficiada atender, no que </w:t>
      </w:r>
      <w:proofErr w:type="gramStart"/>
      <w:r w:rsidRPr="00165482">
        <w:rPr>
          <w:rFonts w:ascii="Times New Roman" w:eastAsia="Arial" w:hAnsi="Times New Roman" w:cs="Times New Roman"/>
        </w:rPr>
        <w:t>couber</w:t>
      </w:r>
      <w:proofErr w:type="gramEnd"/>
      <w:r w:rsidRPr="00165482">
        <w:rPr>
          <w:rFonts w:ascii="Times New Roman" w:eastAsia="Arial" w:hAnsi="Times New Roman" w:cs="Times New Roman"/>
        </w:rPr>
        <w:t>, as disposições da Seção V desta Lei.</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5º Para fins do disposto no art. 166, § 8º, da Constituição Federal, serão levados à reserva de contingência referida no inciso I do art. 14 os recursos que, em decorrência de veto, emenda ou rejeição do projeto da Lei Orçamentária Anual de 2020, ficarem sem despesas correspondentes.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6º Para o suporte de dotação para a Despesa foi considerado um valor estimado de R$1.500.000,00 decorrentes de superávit de exercícios anteriores, tem como referência o boletim de Caixa n. 127/2019, de 30/07/2019. Valor este que poderá ser utilizado em 2020, conforme § 2º, do Art. 6º, da Lei 4.320/1964. Bem assim foram considerados créditos a receber de entidades Estaduais e Federais. Dessa forma a previsão da Receita e da Despesa foi elevada de R$20.000.000,00 para R$21.500.000,00.</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Art. 58. Por meio da Secretaria Municipal de Fazenda, o Poder Executivo deverá atender às solicitações encaminhadas pela Comissão de Finanças, Orçamento e Fiscalização </w:t>
      </w:r>
      <w:r w:rsidRPr="00165482">
        <w:rPr>
          <w:rFonts w:ascii="Times New Roman" w:eastAsia="Arial" w:hAnsi="Times New Roman" w:cs="Times New Roman"/>
        </w:rPr>
        <w:lastRenderedPageBreak/>
        <w:t xml:space="preserve">Financeira da Câmara Municipal, relativas a informações quantitativas e qualitativas complementares julgadas necessárias à análise da proposta orçamentária. </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Art. 59. Em consonância com o que dispõe o § 5º do art. 166 da Constituição Federal e o art. 94 da Lei Orgânica Municipal, poderá o Prefeito enviar Mensagem à Câmara Municipal para propor modificações aos projetos de lei orçamentária enquanto não estiver concluída a votação da parte cuja alteração é proposta.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Art. 60. Se o projeto de lei orçamentária não for aprovado até 31 de dezembro de 2019,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1º Excetuam-se do disposto no </w:t>
      </w:r>
      <w:r w:rsidRPr="00165482">
        <w:rPr>
          <w:rFonts w:ascii="Times New Roman" w:eastAsia="Arial" w:hAnsi="Times New Roman" w:cs="Times New Roman"/>
          <w:i/>
        </w:rPr>
        <w:t>caput</w:t>
      </w:r>
      <w:r w:rsidRPr="00165482">
        <w:rPr>
          <w:rFonts w:ascii="Times New Roman" w:eastAsia="Arial" w:hAnsi="Times New Roman" w:cs="Times New Roman"/>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2º Não será interrompido o processamento de despesas com obras em andamento.</w:t>
      </w:r>
    </w:p>
    <w:p w:rsidR="00165482" w:rsidRP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 xml:space="preserve">§ 3º Enquanto não aprovada a Lei Orçamentária de 2020, os valores consignados no respectivo Projeto de Lei poderão ser utilizados para demonstrar, quando exigível, a previsão orçamentária nos procedimentos referentes à fase interna da licitação. </w:t>
      </w:r>
    </w:p>
    <w:p w:rsid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Art. 61. Esta Lei entra em vigor na data de sua publicação.</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 xml:space="preserve">São Valentim, RS, </w:t>
      </w:r>
      <w:r>
        <w:rPr>
          <w:rFonts w:ascii="Times New Roman" w:eastAsia="Arial" w:hAnsi="Times New Roman" w:cs="Times New Roman"/>
        </w:rPr>
        <w:t>11</w:t>
      </w:r>
      <w:r w:rsidRPr="00165482">
        <w:rPr>
          <w:rFonts w:ascii="Times New Roman" w:eastAsia="Arial" w:hAnsi="Times New Roman" w:cs="Times New Roman"/>
        </w:rPr>
        <w:t xml:space="preserve"> </w:t>
      </w:r>
      <w:r>
        <w:rPr>
          <w:rFonts w:ascii="Times New Roman" w:eastAsia="Arial" w:hAnsi="Times New Roman" w:cs="Times New Roman"/>
        </w:rPr>
        <w:t>de setembro</w:t>
      </w:r>
      <w:r w:rsidRPr="00165482">
        <w:rPr>
          <w:rFonts w:ascii="Times New Roman" w:eastAsia="Arial" w:hAnsi="Times New Roman" w:cs="Times New Roman"/>
        </w:rPr>
        <w:t xml:space="preserve"> de 2019</w:t>
      </w:r>
      <w:r>
        <w:rPr>
          <w:rFonts w:ascii="Times New Roman" w:eastAsia="Arial" w:hAnsi="Times New Roman" w:cs="Times New Roman"/>
        </w:rPr>
        <w:t>.</w:t>
      </w:r>
    </w:p>
    <w:p w:rsidR="00165482" w:rsidRDefault="00165482" w:rsidP="00165482">
      <w:pPr>
        <w:pStyle w:val="Normal1"/>
        <w:spacing w:before="0" w:after="0"/>
        <w:rPr>
          <w:rFonts w:ascii="Times New Roman" w:eastAsia="Arial" w:hAnsi="Times New Roman" w:cs="Times New Roman"/>
        </w:rPr>
      </w:pPr>
      <w:r w:rsidRPr="00165482">
        <w:rPr>
          <w:rFonts w:ascii="Times New Roman" w:eastAsia="Arial" w:hAnsi="Times New Roman" w:cs="Times New Roman"/>
        </w:rPr>
        <w:tab/>
      </w:r>
      <w:r w:rsidRPr="00165482">
        <w:rPr>
          <w:rFonts w:ascii="Times New Roman" w:eastAsia="Arial" w:hAnsi="Times New Roman" w:cs="Times New Roman"/>
        </w:rPr>
        <w:tab/>
      </w:r>
      <w:r w:rsidRPr="00165482">
        <w:rPr>
          <w:rFonts w:ascii="Times New Roman" w:eastAsia="Arial" w:hAnsi="Times New Roman" w:cs="Times New Roman"/>
        </w:rPr>
        <w:tab/>
      </w:r>
      <w:r w:rsidRPr="00165482">
        <w:rPr>
          <w:rFonts w:ascii="Times New Roman" w:eastAsia="Arial" w:hAnsi="Times New Roman" w:cs="Times New Roman"/>
        </w:rPr>
        <w:tab/>
      </w:r>
      <w:r w:rsidRPr="00165482">
        <w:rPr>
          <w:rFonts w:ascii="Times New Roman" w:eastAsia="Arial" w:hAnsi="Times New Roman" w:cs="Times New Roman"/>
        </w:rPr>
        <w:tab/>
      </w:r>
    </w:p>
    <w:p w:rsidR="00165482" w:rsidRDefault="00165482" w:rsidP="00165482">
      <w:pPr>
        <w:pStyle w:val="Normal1"/>
        <w:spacing w:before="0" w:after="0"/>
        <w:jc w:val="center"/>
        <w:rPr>
          <w:rFonts w:ascii="Times New Roman" w:eastAsia="Arial" w:hAnsi="Times New Roman" w:cs="Times New Roman"/>
        </w:rPr>
      </w:pPr>
      <w:r w:rsidRPr="00165482">
        <w:rPr>
          <w:rFonts w:ascii="Times New Roman" w:eastAsia="Arial" w:hAnsi="Times New Roman" w:cs="Times New Roman"/>
        </w:rPr>
        <w:t>CLEOMAR JOÃO SCANDOLARA</w:t>
      </w:r>
    </w:p>
    <w:p w:rsidR="00165482" w:rsidRPr="00165482" w:rsidRDefault="00165482" w:rsidP="00165482">
      <w:pPr>
        <w:pStyle w:val="Normal1"/>
        <w:spacing w:before="0" w:after="0"/>
        <w:jc w:val="center"/>
        <w:rPr>
          <w:rFonts w:ascii="Times New Roman" w:eastAsia="Arial" w:hAnsi="Times New Roman" w:cs="Times New Roman"/>
        </w:rPr>
      </w:pPr>
      <w:r w:rsidRPr="00165482">
        <w:rPr>
          <w:rFonts w:ascii="Times New Roman" w:eastAsia="Arial" w:hAnsi="Times New Roman" w:cs="Times New Roman"/>
        </w:rPr>
        <w:t>Prefeito Municipal</w:t>
      </w:r>
    </w:p>
    <w:p w:rsidR="00165482" w:rsidRDefault="00165482" w:rsidP="00165482">
      <w:pPr>
        <w:pStyle w:val="Recuodecorpodetexto"/>
        <w:spacing w:after="0"/>
        <w:ind w:left="0"/>
        <w:rPr>
          <w:b w:val="0"/>
          <w:sz w:val="24"/>
          <w:szCs w:val="24"/>
        </w:rPr>
      </w:pPr>
    </w:p>
    <w:p w:rsidR="00165482" w:rsidRDefault="00165482" w:rsidP="00165482">
      <w:pPr>
        <w:pStyle w:val="Recuodecorpodetexto"/>
        <w:spacing w:after="0"/>
        <w:ind w:left="0"/>
        <w:rPr>
          <w:b w:val="0"/>
          <w:sz w:val="24"/>
          <w:szCs w:val="24"/>
        </w:rPr>
      </w:pPr>
    </w:p>
    <w:p w:rsidR="00165482" w:rsidRDefault="00165482" w:rsidP="00165482">
      <w:pPr>
        <w:pStyle w:val="Recuodecorpodetexto"/>
        <w:spacing w:after="0"/>
        <w:ind w:left="0"/>
        <w:rPr>
          <w:b w:val="0"/>
          <w:sz w:val="24"/>
          <w:szCs w:val="24"/>
        </w:rPr>
      </w:pPr>
      <w:r>
        <w:rPr>
          <w:b w:val="0"/>
          <w:sz w:val="24"/>
          <w:szCs w:val="24"/>
        </w:rPr>
        <w:t>Registre-se e Publique-se</w:t>
      </w:r>
    </w:p>
    <w:p w:rsidR="00165482" w:rsidRDefault="00165482" w:rsidP="00165482">
      <w:pPr>
        <w:pStyle w:val="Recuodecorpodetexto"/>
        <w:spacing w:after="0"/>
        <w:ind w:left="0"/>
        <w:rPr>
          <w:b w:val="0"/>
          <w:sz w:val="24"/>
          <w:szCs w:val="24"/>
        </w:rPr>
      </w:pPr>
      <w:r>
        <w:rPr>
          <w:b w:val="0"/>
          <w:sz w:val="24"/>
          <w:szCs w:val="24"/>
        </w:rPr>
        <w:t>11/09/2019.</w:t>
      </w:r>
    </w:p>
    <w:p w:rsidR="00165482" w:rsidRDefault="00165482" w:rsidP="00165482">
      <w:pPr>
        <w:pStyle w:val="Recuodecorpodetexto"/>
        <w:spacing w:after="0"/>
        <w:ind w:left="0"/>
        <w:rPr>
          <w:b w:val="0"/>
          <w:sz w:val="24"/>
          <w:szCs w:val="24"/>
        </w:rPr>
      </w:pPr>
    </w:p>
    <w:p w:rsidR="00165482" w:rsidRDefault="00165482" w:rsidP="00165482">
      <w:pPr>
        <w:pStyle w:val="Recuodecorpodetexto"/>
        <w:spacing w:after="0"/>
        <w:ind w:left="0"/>
        <w:rPr>
          <w:b w:val="0"/>
          <w:sz w:val="24"/>
          <w:szCs w:val="24"/>
        </w:rPr>
      </w:pPr>
      <w:r>
        <w:rPr>
          <w:b w:val="0"/>
          <w:sz w:val="24"/>
          <w:szCs w:val="24"/>
        </w:rPr>
        <w:t>RODOLFO LORASCHE DALLA ROSA,</w:t>
      </w:r>
    </w:p>
    <w:p w:rsidR="00165482" w:rsidRPr="009848D6" w:rsidRDefault="00165482" w:rsidP="00165482">
      <w:pPr>
        <w:pStyle w:val="Recuodecorpodetexto"/>
        <w:spacing w:after="0"/>
        <w:ind w:left="0"/>
        <w:rPr>
          <w:b w:val="0"/>
          <w:sz w:val="24"/>
          <w:szCs w:val="24"/>
        </w:rPr>
      </w:pPr>
      <w:r>
        <w:rPr>
          <w:b w:val="0"/>
          <w:sz w:val="24"/>
          <w:szCs w:val="24"/>
        </w:rPr>
        <w:t>Secretário Municipal de Administração.</w:t>
      </w: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b/>
          <w:color w:val="000000"/>
          <w:u w:val="single"/>
        </w:rPr>
      </w:pPr>
      <w:r w:rsidRPr="00165482">
        <w:rPr>
          <w:rFonts w:ascii="Times New Roman" w:eastAsia="Arial" w:hAnsi="Times New Roman" w:cs="Times New Roman"/>
          <w:b/>
          <w:color w:val="000000"/>
          <w:u w:val="single"/>
        </w:rPr>
        <w:lastRenderedPageBreak/>
        <w:t>LEI DE DIRETRIZES ORÇAMENTÁRIAS</w:t>
      </w: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b/>
          <w:color w:val="000000"/>
          <w:u w:val="single"/>
        </w:rPr>
      </w:pPr>
      <w:r w:rsidRPr="00165482">
        <w:rPr>
          <w:rFonts w:ascii="Times New Roman" w:eastAsia="Arial" w:hAnsi="Times New Roman" w:cs="Times New Roman"/>
          <w:b/>
          <w:color w:val="000000"/>
          <w:u w:val="single"/>
        </w:rPr>
        <w:t>ANEXO DE METAS FISCAIS</w:t>
      </w: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color w:val="000000"/>
          <w:u w:val="single"/>
        </w:rPr>
      </w:pPr>
      <w:r w:rsidRPr="00165482">
        <w:rPr>
          <w:rFonts w:ascii="Times New Roman" w:eastAsia="Arial" w:hAnsi="Times New Roman" w:cs="Times New Roman"/>
          <w:b/>
          <w:color w:val="000000"/>
        </w:rPr>
        <w:t>EXERCÍCIO DE 2020</w:t>
      </w:r>
    </w:p>
    <w:p w:rsidR="00165482" w:rsidRPr="00165482" w:rsidRDefault="00165482" w:rsidP="00165482">
      <w:pPr>
        <w:pStyle w:val="Normal1"/>
        <w:pBdr>
          <w:top w:val="single" w:sz="36" w:space="1" w:color="000000"/>
          <w:left w:val="single" w:sz="36" w:space="4" w:color="000000"/>
          <w:bottom w:val="single" w:sz="36" w:space="1" w:color="000000"/>
          <w:right w:val="single" w:sz="36" w:space="15" w:color="000000"/>
        </w:pBdr>
        <w:spacing w:before="0" w:after="0"/>
        <w:ind w:right="192" w:firstLine="0"/>
        <w:jc w:val="center"/>
        <w:rPr>
          <w:rFonts w:ascii="Times New Roman" w:eastAsia="Arial" w:hAnsi="Times New Roman" w:cs="Times New Roman"/>
          <w:b/>
          <w:i/>
        </w:rPr>
      </w:pPr>
      <w:r w:rsidRPr="00165482">
        <w:rPr>
          <w:rFonts w:ascii="Times New Roman" w:eastAsia="Arial" w:hAnsi="Times New Roman" w:cs="Times New Roman"/>
          <w:b/>
          <w:i/>
        </w:rPr>
        <w:t>ANEXO I</w:t>
      </w:r>
    </w:p>
    <w:p w:rsidR="00165482" w:rsidRPr="00165482" w:rsidRDefault="00165482" w:rsidP="00165482">
      <w:pPr>
        <w:pStyle w:val="Normal1"/>
        <w:pBdr>
          <w:top w:val="single" w:sz="36" w:space="1" w:color="000000"/>
          <w:left w:val="single" w:sz="36" w:space="4" w:color="000000"/>
          <w:bottom w:val="single" w:sz="36" w:space="1" w:color="000000"/>
          <w:right w:val="single" w:sz="36" w:space="15" w:color="000000"/>
        </w:pBdr>
        <w:spacing w:before="0" w:after="0"/>
        <w:ind w:right="192" w:firstLine="0"/>
        <w:jc w:val="center"/>
        <w:rPr>
          <w:rFonts w:ascii="Times New Roman" w:eastAsia="Arial" w:hAnsi="Times New Roman" w:cs="Times New Roman"/>
          <w:b/>
        </w:rPr>
      </w:pPr>
      <w:r w:rsidRPr="00165482">
        <w:rPr>
          <w:rFonts w:ascii="Times New Roman" w:eastAsia="Arial" w:hAnsi="Times New Roman" w:cs="Times New Roman"/>
          <w:b/>
        </w:rPr>
        <w:t>Anexo de Metas Fiscais</w:t>
      </w:r>
    </w:p>
    <w:p w:rsidR="00165482" w:rsidRPr="00165482" w:rsidRDefault="00165482" w:rsidP="00165482">
      <w:pPr>
        <w:pStyle w:val="Normal1"/>
        <w:spacing w:before="0" w:after="0"/>
        <w:jc w:val="center"/>
        <w:rPr>
          <w:rFonts w:ascii="Times New Roman" w:eastAsia="Arial" w:hAnsi="Times New Roman" w:cs="Times New Roman"/>
          <w:b/>
        </w:rPr>
      </w:pPr>
    </w:p>
    <w:p w:rsidR="00165482" w:rsidRPr="00165482" w:rsidRDefault="00165482" w:rsidP="00165482">
      <w:pPr>
        <w:pStyle w:val="Normal1"/>
        <w:spacing w:before="0" w:after="0"/>
        <w:jc w:val="center"/>
        <w:rPr>
          <w:rFonts w:ascii="Times New Roman" w:eastAsia="Arial" w:hAnsi="Times New Roman" w:cs="Times New Roman"/>
          <w:b/>
        </w:rPr>
      </w:pPr>
      <w:r w:rsidRPr="00165482">
        <w:rPr>
          <w:rFonts w:ascii="Times New Roman" w:eastAsia="Arial" w:hAnsi="Times New Roman" w:cs="Times New Roman"/>
          <w:b/>
        </w:rPr>
        <w:t>Memória e Metodologia de Cálculo das Metas Anuais de Receitas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As receitas foram estimadas para o período de 2020 a 2022 tomando-se como base a projeção para 2019. Esta revisão considerou os valores arrecadados até o final do mês de maio, as consultas e previsões sobre as transferências, convênios e as estimativas de arrecadação tributária, realizadas pela Secretaria Municipal da Fazenda. Considerou-se a meta de inflação de 4,00% ao ano (disponível em </w:t>
      </w:r>
      <w:hyperlink r:id="rId9" w:history="1">
        <w:r w:rsidRPr="00165482">
          <w:rPr>
            <w:rStyle w:val="Hyperlink"/>
            <w:rFonts w:ascii="Times New Roman" w:eastAsia="Arial" w:hAnsi="Times New Roman" w:cs="Times New Roman"/>
          </w:rPr>
          <w:t>https://www.valor.com.br/brasil/6186129/bc-ve-inflacao-de-41-em-2019-e-de-4-em-2020</w:t>
        </w:r>
      </w:hyperlink>
      <w:r w:rsidRPr="00165482">
        <w:rPr>
          <w:rFonts w:ascii="Times New Roman" w:eastAsia="Arial" w:hAnsi="Times New Roman" w:cs="Times New Roman"/>
          <w:color w:val="000000"/>
        </w:rPr>
        <w:t>)</w:t>
      </w:r>
      <w:proofErr w:type="gramStart"/>
      <w:r w:rsidRPr="00165482">
        <w:rPr>
          <w:rFonts w:ascii="Times New Roman" w:eastAsia="Arial" w:hAnsi="Times New Roman" w:cs="Times New Roman"/>
          <w:color w:val="000000"/>
        </w:rPr>
        <w:t xml:space="preserve">  </w:t>
      </w:r>
      <w:proofErr w:type="gramEnd"/>
      <w:r w:rsidRPr="00165482">
        <w:rPr>
          <w:rFonts w:ascii="Times New Roman" w:eastAsia="Arial" w:hAnsi="Times New Roman" w:cs="Times New Roman"/>
          <w:color w:val="000000"/>
        </w:rPr>
        <w:t xml:space="preserve">e um crescimento do PIB 2,78% ao ano (disponível em </w:t>
      </w:r>
      <w:hyperlink r:id="rId10" w:history="1">
        <w:r w:rsidRPr="00165482">
          <w:rPr>
            <w:rStyle w:val="Hyperlink"/>
            <w:rFonts w:ascii="Times New Roman" w:eastAsia="Arial" w:hAnsi="Times New Roman" w:cs="Times New Roman"/>
          </w:rPr>
          <w:t>https://economia.ig.com.br/2019-03-25/pib-2019-2020.html</w:t>
        </w:r>
      </w:hyperlink>
      <w:r w:rsidRPr="00165482">
        <w:rPr>
          <w:rFonts w:ascii="Times New Roman" w:eastAsia="Arial" w:hAnsi="Times New Roman" w:cs="Times New Roman"/>
          <w:color w:val="000000"/>
        </w:rPr>
        <w:t>).</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O cenário macroeconômico adotado levou em conta as taxas de inflação, juros e taxas de crescimento econômico do Município, do Estado e do País, que subsidiaram as estimativas das metas.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Apresentam-se, a seguir, os critérios específicos de projeções das metas para os principais itens de receitas: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I P T U</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Foram mantidas, durante o período de 2020 a 2022 as mesmas taxas de inadimplência e antecipação consideradas para 2019. Para 2020 espera-se correção semelhante </w:t>
      </w:r>
      <w:proofErr w:type="gramStart"/>
      <w:r w:rsidRPr="00165482">
        <w:rPr>
          <w:rFonts w:ascii="Times New Roman" w:eastAsia="Arial" w:hAnsi="Times New Roman" w:cs="Times New Roman"/>
          <w:color w:val="000000"/>
        </w:rPr>
        <w:t>a</w:t>
      </w:r>
      <w:proofErr w:type="gramEnd"/>
      <w:r w:rsidRPr="00165482">
        <w:rPr>
          <w:rFonts w:ascii="Times New Roman" w:eastAsia="Arial" w:hAnsi="Times New Roman" w:cs="Times New Roman"/>
          <w:color w:val="000000"/>
        </w:rPr>
        <w:t xml:space="preserve"> de 2019 uma vez que o indexador adotado pelo Município é o IGPM, que forma a Unidade Fiscal de Referência Municipal (UFRM). Considerou-se também o </w:t>
      </w:r>
      <w:r w:rsidRPr="00165482">
        <w:rPr>
          <w:rFonts w:ascii="Times New Roman" w:eastAsia="Arial" w:hAnsi="Times New Roman" w:cs="Times New Roman"/>
          <w:color w:val="000000"/>
        </w:rPr>
        <w:lastRenderedPageBreak/>
        <w:t>aumento na arrecadação do IPTU por conta da aprovação do Novo Código Tributário, Lei Municipal n. 2706/2017.</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I S </w:t>
      </w:r>
      <w:proofErr w:type="spellStart"/>
      <w:r w:rsidRPr="00165482">
        <w:rPr>
          <w:rFonts w:ascii="Times New Roman" w:eastAsia="Arial" w:hAnsi="Times New Roman" w:cs="Times New Roman"/>
          <w:color w:val="000000"/>
        </w:rPr>
        <w:t>S</w:t>
      </w:r>
      <w:proofErr w:type="spellEnd"/>
      <w:r w:rsidRPr="00165482">
        <w:rPr>
          <w:rFonts w:ascii="Times New Roman" w:eastAsia="Arial" w:hAnsi="Times New Roman" w:cs="Times New Roman"/>
          <w:color w:val="000000"/>
        </w:rPr>
        <w:t xml:space="preserve"> </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A maior parte deste imposto é constituída pelo </w:t>
      </w:r>
      <w:proofErr w:type="spellStart"/>
      <w:proofErr w:type="gramStart"/>
      <w:r w:rsidRPr="00165482">
        <w:rPr>
          <w:rFonts w:ascii="Times New Roman" w:eastAsia="Arial" w:hAnsi="Times New Roman" w:cs="Times New Roman"/>
          <w:color w:val="000000"/>
        </w:rPr>
        <w:t>auto-lançamento</w:t>
      </w:r>
      <w:proofErr w:type="spellEnd"/>
      <w:proofErr w:type="gramEnd"/>
      <w:r w:rsidRPr="00165482">
        <w:rPr>
          <w:rFonts w:ascii="Times New Roman" w:eastAsia="Arial" w:hAnsi="Times New Roman" w:cs="Times New Roman"/>
          <w:color w:val="000000"/>
        </w:rPr>
        <w:t xml:space="preserve"> que varia em função da atividade econômica. Supôs-se uma elasticidade do PIB de 2,78% para cada ano, além da meta inflacionária do país, que deverá corrigir os preços dos bens e serviços. </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I T B I</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Este é um dos tributos de mais difícil previsão, pois depende do volume de atos negociais envolvendo imóveis. </w:t>
      </w:r>
      <w:proofErr w:type="gramStart"/>
      <w:r w:rsidRPr="00165482">
        <w:rPr>
          <w:rFonts w:ascii="Times New Roman" w:eastAsia="Arial" w:hAnsi="Times New Roman" w:cs="Times New Roman"/>
          <w:color w:val="000000"/>
        </w:rPr>
        <w:t>Nos baseamos</w:t>
      </w:r>
      <w:proofErr w:type="gramEnd"/>
      <w:r w:rsidRPr="00165482">
        <w:rPr>
          <w:rFonts w:ascii="Times New Roman" w:eastAsia="Arial" w:hAnsi="Times New Roman" w:cs="Times New Roman"/>
          <w:color w:val="000000"/>
        </w:rPr>
        <w:t>, na média dos últimos 12 meses, e atribuímos apenas a correção pelos índices de previsão inflacionária.</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F P M</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Principal fonte de receita do Município deverá crescer de conformidade com a atividade econômica do país. Para o Exercício de 2020 levamos em conta as projeções da Secretaria do Tesouro Nacional (STN).</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Transferência Financeira do ICMS – Desoneração – Lei Complementar n. 87/96</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Considerou-se que será mantido, para o período de 2020 a 2022 o mesmo valor nominal estimado para 2019 e mais o índice provisório publicado pela Secretaria da Receita Estadual. </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Transferências do SUS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A Secretaria Municipal de Saúde informou os valores estimados para 2020, que foram mantidos, em termos reais, para os outros anos.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lastRenderedPageBreak/>
        <w:tab/>
        <w:t>Transferências do FNDE</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O FNDE não informou até a presente data os valores estimados para 2020, que foram mantidos, em termos reais, para os outros anos.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Transferências do FUNDEB</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Foram feitas em termos do censo escolar e do valor per capta previsto pelo Ministério da Educação.</w:t>
      </w:r>
    </w:p>
    <w:p w:rsid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Transferências do FNAS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A Secretaria Municipal de Assistência Social informou valores estimados para 2020, que foram mantidos, em termos reais, para os outros.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Dos Créditos a Receber e Superávit dos Exercícios Anteriores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Para o suporte de dotação para a Despesa foi considerado um valor estimado de R$1.500.000,00 decorrentes de superávit de exercícios anteriores, tem como referência o boletim de Caixa n. 127/2019, de 30/07/2019. Valor este que poderá ser utilizado em 2020, conforme § 2º, do Art. 6º, da Lei 4.320/1964. Bem assim foram considerados créditos a receber de entidades Estaduais e Federais. Dessa forma a previsão da Receita e da Despesa foi elevada de R$20.000.000,00 para R$21.500.000,00.</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b/>
          <w:color w:val="000000"/>
          <w:u w:val="single"/>
        </w:rPr>
      </w:pPr>
      <w:r w:rsidRPr="00165482">
        <w:rPr>
          <w:rFonts w:ascii="Times New Roman" w:eastAsia="Arial" w:hAnsi="Times New Roman" w:cs="Times New Roman"/>
          <w:b/>
          <w:color w:val="000000"/>
          <w:u w:val="single"/>
        </w:rPr>
        <w:lastRenderedPageBreak/>
        <w:t>LEI DE DIRETRIZES ORÇAMENTÁRIAS</w:t>
      </w: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b/>
          <w:color w:val="000000"/>
          <w:u w:val="single"/>
        </w:rPr>
      </w:pPr>
      <w:r w:rsidRPr="00165482">
        <w:rPr>
          <w:rFonts w:ascii="Times New Roman" w:eastAsia="Arial" w:hAnsi="Times New Roman" w:cs="Times New Roman"/>
          <w:b/>
          <w:color w:val="000000"/>
          <w:u w:val="single"/>
        </w:rPr>
        <w:t>RISCOS FISCAIS</w:t>
      </w:r>
    </w:p>
    <w:p w:rsidR="00165482" w:rsidRPr="00165482" w:rsidRDefault="00165482" w:rsidP="00165482">
      <w:pPr>
        <w:pStyle w:val="Normal1"/>
        <w:pBdr>
          <w:top w:val="single" w:sz="36" w:space="1" w:color="000000"/>
          <w:left w:val="single" w:sz="36" w:space="4" w:color="000000"/>
          <w:bottom w:val="single" w:sz="36" w:space="1" w:color="000000"/>
          <w:right w:val="single" w:sz="36" w:space="4" w:color="000000"/>
          <w:between w:val="nil"/>
        </w:pBdr>
        <w:spacing w:before="0" w:after="0"/>
        <w:ind w:firstLine="0"/>
        <w:jc w:val="center"/>
        <w:rPr>
          <w:rFonts w:ascii="Times New Roman" w:eastAsia="Arial" w:hAnsi="Times New Roman" w:cs="Times New Roman"/>
          <w:color w:val="000000"/>
          <w:u w:val="single"/>
        </w:rPr>
      </w:pPr>
      <w:r w:rsidRPr="00165482">
        <w:rPr>
          <w:rFonts w:ascii="Times New Roman" w:eastAsia="Arial" w:hAnsi="Times New Roman" w:cs="Times New Roman"/>
          <w:b/>
          <w:color w:val="000000"/>
        </w:rPr>
        <w:t>EXERCÍCIO DE 2020</w:t>
      </w:r>
    </w:p>
    <w:p w:rsidR="00165482" w:rsidRPr="00165482" w:rsidRDefault="00165482" w:rsidP="00165482">
      <w:pPr>
        <w:pStyle w:val="Normal1"/>
        <w:spacing w:before="0" w:after="0"/>
        <w:ind w:right="193"/>
        <w:rPr>
          <w:rFonts w:ascii="Times New Roman" w:eastAsia="Arial" w:hAnsi="Times New Roman" w:cs="Times New Roman"/>
          <w:i/>
          <w:sz w:val="8"/>
          <w:szCs w:val="16"/>
        </w:rPr>
      </w:pPr>
      <w:r w:rsidRPr="00165482">
        <w:rPr>
          <w:rFonts w:ascii="Times New Roman" w:eastAsia="Arial" w:hAnsi="Times New Roman" w:cs="Times New Roman"/>
          <w:i/>
          <w:sz w:val="8"/>
          <w:szCs w:val="16"/>
        </w:rPr>
        <w:tab/>
      </w:r>
    </w:p>
    <w:p w:rsidR="00165482" w:rsidRPr="00165482" w:rsidRDefault="00165482" w:rsidP="00165482">
      <w:pPr>
        <w:pStyle w:val="Normal1"/>
        <w:pBdr>
          <w:top w:val="single" w:sz="36" w:space="1" w:color="000000"/>
          <w:left w:val="single" w:sz="36" w:space="4" w:color="000000"/>
          <w:bottom w:val="single" w:sz="36" w:space="1" w:color="000000"/>
          <w:right w:val="single" w:sz="36" w:space="15" w:color="000000"/>
        </w:pBdr>
        <w:spacing w:before="0" w:after="0"/>
        <w:ind w:right="192" w:firstLine="708"/>
        <w:jc w:val="center"/>
        <w:rPr>
          <w:rFonts w:ascii="Times New Roman" w:eastAsia="Arial" w:hAnsi="Times New Roman" w:cs="Times New Roman"/>
          <w:b/>
          <w:i/>
        </w:rPr>
      </w:pPr>
      <w:r w:rsidRPr="00165482">
        <w:rPr>
          <w:rFonts w:ascii="Times New Roman" w:eastAsia="Arial" w:hAnsi="Times New Roman" w:cs="Times New Roman"/>
          <w:b/>
          <w:i/>
        </w:rPr>
        <w:t>ANEXO II</w:t>
      </w:r>
    </w:p>
    <w:p w:rsidR="00165482" w:rsidRPr="00165482" w:rsidRDefault="00165482" w:rsidP="00165482">
      <w:pPr>
        <w:pStyle w:val="Ttulo3"/>
        <w:spacing w:before="0" w:after="0" w:line="360" w:lineRule="auto"/>
        <w:jc w:val="center"/>
        <w:rPr>
          <w:rFonts w:ascii="Times New Roman" w:eastAsia="Arial" w:hAnsi="Times New Roman"/>
          <w:b w:val="0"/>
          <w:sz w:val="24"/>
          <w:szCs w:val="24"/>
        </w:rPr>
      </w:pPr>
    </w:p>
    <w:p w:rsidR="00165482" w:rsidRPr="00165482" w:rsidRDefault="00165482" w:rsidP="00165482">
      <w:pPr>
        <w:pStyle w:val="Ttulo3"/>
        <w:spacing w:before="0" w:after="0" w:line="360" w:lineRule="auto"/>
        <w:jc w:val="center"/>
        <w:rPr>
          <w:rFonts w:ascii="Times New Roman" w:eastAsia="Arial" w:hAnsi="Times New Roman"/>
          <w:sz w:val="24"/>
          <w:szCs w:val="24"/>
        </w:rPr>
      </w:pPr>
      <w:r w:rsidRPr="00165482">
        <w:rPr>
          <w:rFonts w:ascii="Times New Roman" w:eastAsia="Arial" w:hAnsi="Times New Roman"/>
          <w:sz w:val="24"/>
          <w:szCs w:val="24"/>
        </w:rPr>
        <w:t>Anexo de Riscos Fiscais</w:t>
      </w:r>
    </w:p>
    <w:p w:rsidR="00165482" w:rsidRPr="00165482" w:rsidRDefault="00165482" w:rsidP="00165482">
      <w:pPr>
        <w:pStyle w:val="Normal1"/>
        <w:spacing w:before="0" w:after="0"/>
        <w:jc w:val="center"/>
        <w:rPr>
          <w:rFonts w:ascii="Times New Roman" w:eastAsia="Arial" w:hAnsi="Times New Roman" w:cs="Times New Roman"/>
        </w:rPr>
      </w:pPr>
      <w:r w:rsidRPr="00165482">
        <w:rPr>
          <w:rFonts w:ascii="Times New Roman" w:eastAsia="Arial" w:hAnsi="Times New Roman" w:cs="Times New Roman"/>
        </w:rPr>
        <w:t>(Art. 4</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parágrafo 3</w:t>
      </w:r>
      <w:r w:rsidRPr="00165482">
        <w:rPr>
          <w:rFonts w:ascii="Times New Roman" w:eastAsia="Arial" w:hAnsi="Times New Roman" w:cs="Times New Roman"/>
          <w:u w:val="single"/>
          <w:vertAlign w:val="superscript"/>
        </w:rPr>
        <w:t>o</w:t>
      </w:r>
      <w:r w:rsidRPr="00165482">
        <w:rPr>
          <w:rFonts w:ascii="Times New Roman" w:eastAsia="Arial" w:hAnsi="Times New Roman" w:cs="Times New Roman"/>
        </w:rPr>
        <w:t xml:space="preserve"> da Lei Complementar n. 101, de 04/05/2000).</w:t>
      </w:r>
    </w:p>
    <w:p w:rsidR="00165482" w:rsidRPr="00165482" w:rsidRDefault="00165482" w:rsidP="00165482">
      <w:pPr>
        <w:pStyle w:val="Normal1"/>
        <w:spacing w:before="0" w:after="0"/>
        <w:rPr>
          <w:rFonts w:ascii="Times New Roman" w:eastAsia="Arial" w:hAnsi="Times New Roman" w:cs="Times New Roman"/>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ab/>
        <w:t>O comportamento futuro dos indicadores de Resultado Primário e Nominal, para os quais esta Lei estabelece metas por meio do Anexo de Metas Fiscais, pode vir a ser afetado por algumas ocorrências que eventualmente resultarão em redução de receitas e aumento de despesas, como segue:</w:t>
      </w: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1 - redução da arrecadação de ICMS por consequência da frustração da última safra agrícola, e tendo em vista que a economia do Município depende essencialmente do setor primário. Salienta-se que do índice provisório publicado pela Secretaria da Receita Estadual do Rio Grande do Sul ainda não foi publicado.</w:t>
      </w: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2 - aumento de despesas com gastos na área social, em vista do empobrecimento das famílias de desempregados ou com ocupações informais e das famílias de pequenos agricultores, situação esta agravada pela recente frustração de safra;</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3 - os mesmos fatores salientados no item anterior determinam a edição de leis isentando e/ou reduzindo créditos tributários e não tributários lançados em dívida ativa, bem como subsidiando serviços prestados por máquinas e equipamentos da municipalidade, reduzindo a receita orçamentária.</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t>4 - as despesas com manutenção de máquinas e equipamentos tendo em vista o seu envelhecimento e a dificuldade em adquirir bens novos.</w:t>
      </w: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08"/>
        <w:rPr>
          <w:rFonts w:ascii="Times New Roman" w:eastAsia="Arial" w:hAnsi="Times New Roman" w:cs="Times New Roman"/>
          <w:color w:val="000000"/>
        </w:rPr>
      </w:pPr>
      <w:r w:rsidRPr="00165482">
        <w:rPr>
          <w:rFonts w:ascii="Times New Roman" w:eastAsia="Arial" w:hAnsi="Times New Roman" w:cs="Times New Roman"/>
          <w:color w:val="000000"/>
        </w:rPr>
        <w:lastRenderedPageBreak/>
        <w:t>5 - passivo fiscal correspondente a débito com o INSS, referente ao não repasse dos recursos do Fundo Municipal de Aposentadoria (FMA) por ocasião da migração do Regime de Previdência Própria (RPPS), para o Regime Geral de Previdência. Existe a possibilidade eminente do INSS vir a exigir esta importância devida pelo município estima em aproximadamente R$ 1.450.000,00 (valor histórico).</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r w:rsidRPr="00165482">
        <w:rPr>
          <w:rFonts w:ascii="Times New Roman" w:eastAsia="Arial" w:hAnsi="Times New Roman" w:cs="Times New Roman"/>
          <w:color w:val="000000"/>
        </w:rPr>
        <w:tab/>
        <w:t xml:space="preserve">5 – </w:t>
      </w:r>
      <w:proofErr w:type="gramStart"/>
      <w:r w:rsidRPr="00165482">
        <w:rPr>
          <w:rFonts w:ascii="Times New Roman" w:eastAsia="Arial" w:hAnsi="Times New Roman" w:cs="Times New Roman"/>
          <w:color w:val="000000"/>
        </w:rPr>
        <w:t>Alerta-se</w:t>
      </w:r>
      <w:proofErr w:type="gramEnd"/>
      <w:r w:rsidRPr="00165482">
        <w:rPr>
          <w:rFonts w:ascii="Times New Roman" w:eastAsia="Arial" w:hAnsi="Times New Roman" w:cs="Times New Roman"/>
          <w:color w:val="000000"/>
        </w:rPr>
        <w:t xml:space="preserve"> ainda para a existência de precatórios com sentença no valor aproximado de R$150.000,00, bem assim constam também ações trabalhistas ainda não julgadas, que também poderão resultar em precatórios, </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20"/>
        <w:rPr>
          <w:rFonts w:ascii="Times New Roman" w:eastAsia="Arial" w:hAnsi="Times New Roman" w:cs="Times New Roman"/>
          <w:color w:val="000000"/>
        </w:rPr>
      </w:pPr>
      <w:r w:rsidRPr="00165482">
        <w:rPr>
          <w:rFonts w:ascii="Times New Roman" w:eastAsia="Arial" w:hAnsi="Times New Roman" w:cs="Times New Roman"/>
          <w:color w:val="000000"/>
        </w:rPr>
        <w:t xml:space="preserve">6- </w:t>
      </w:r>
      <w:proofErr w:type="gramStart"/>
      <w:r w:rsidRPr="00165482">
        <w:rPr>
          <w:rFonts w:ascii="Times New Roman" w:eastAsia="Arial" w:hAnsi="Times New Roman" w:cs="Times New Roman"/>
          <w:color w:val="000000"/>
        </w:rPr>
        <w:t>Caso se concretizem</w:t>
      </w:r>
      <w:proofErr w:type="gramEnd"/>
      <w:r w:rsidRPr="00165482">
        <w:rPr>
          <w:rFonts w:ascii="Times New Roman" w:eastAsia="Arial" w:hAnsi="Times New Roman" w:cs="Times New Roman"/>
          <w:color w:val="000000"/>
        </w:rPr>
        <w:t>, os riscos fiscais serão atendidos com recursos da Reserva de Contingência e, sendo esta insuficiente, serão indicados, também, o excesso de arrecadação e o superávit financeiro do exercício anterior, se houver, obedecida a fonte de recursos correspondente.</w:t>
      </w:r>
    </w:p>
    <w:p w:rsidR="00165482" w:rsidRPr="00165482" w:rsidRDefault="00165482" w:rsidP="00165482">
      <w:pPr>
        <w:pStyle w:val="Normal1"/>
        <w:pBdr>
          <w:top w:val="nil"/>
          <w:left w:val="nil"/>
          <w:bottom w:val="nil"/>
          <w:right w:val="nil"/>
          <w:between w:val="nil"/>
        </w:pBdr>
        <w:spacing w:before="0" w:after="0"/>
        <w:ind w:firstLine="72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720"/>
        <w:rPr>
          <w:rFonts w:ascii="Times New Roman" w:eastAsia="Arial" w:hAnsi="Times New Roman" w:cs="Times New Roman"/>
          <w:color w:val="000000"/>
        </w:rPr>
      </w:pPr>
      <w:r w:rsidRPr="00165482">
        <w:rPr>
          <w:rFonts w:ascii="Times New Roman" w:eastAsia="Arial" w:hAnsi="Times New Roman" w:cs="Times New Roman"/>
          <w:color w:val="000000"/>
        </w:rPr>
        <w:t>7- Sendo esses recursos insuficientes, o Poder Executivo poderá reduzir as dotações destinadas para investimentos, desde que não comprometidas.</w:t>
      </w: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pBdr>
          <w:top w:val="nil"/>
          <w:left w:val="nil"/>
          <w:bottom w:val="nil"/>
          <w:right w:val="nil"/>
          <w:between w:val="nil"/>
        </w:pBdr>
        <w:spacing w:before="0" w:after="0"/>
        <w:ind w:firstLine="0"/>
        <w:rPr>
          <w:rFonts w:ascii="Times New Roman" w:eastAsia="Arial" w:hAnsi="Times New Roman" w:cs="Times New Roman"/>
          <w:b/>
          <w:color w:val="000000"/>
        </w:rPr>
      </w:pPr>
    </w:p>
    <w:p w:rsidR="00165482" w:rsidRPr="00165482" w:rsidRDefault="00165482" w:rsidP="00165482">
      <w:pPr>
        <w:pStyle w:val="Normal1"/>
        <w:spacing w:before="0" w:after="0"/>
        <w:ind w:firstLine="0"/>
        <w:jc w:val="center"/>
        <w:rPr>
          <w:rFonts w:ascii="Times New Roman" w:eastAsia="Arial" w:hAnsi="Times New Roman" w:cs="Times New Roman"/>
          <w:b/>
        </w:rPr>
      </w:pPr>
      <w:r w:rsidRPr="00165482">
        <w:rPr>
          <w:rFonts w:ascii="Times New Roman" w:eastAsia="Arial" w:hAnsi="Times New Roman" w:cs="Times New Roman"/>
          <w:b/>
        </w:rPr>
        <w:lastRenderedPageBreak/>
        <w:t>Justificativa ao Projeto de Lei nº 016/2019.</w:t>
      </w:r>
    </w:p>
    <w:p w:rsidR="00165482" w:rsidRPr="00165482" w:rsidRDefault="00165482" w:rsidP="00165482">
      <w:pPr>
        <w:pStyle w:val="Normal1"/>
        <w:spacing w:before="0" w:after="0"/>
        <w:ind w:firstLine="708"/>
        <w:rPr>
          <w:rFonts w:ascii="Times New Roman" w:eastAsia="Arial" w:hAnsi="Times New Roman" w:cs="Times New Roman"/>
        </w:rPr>
      </w:pPr>
    </w:p>
    <w:p w:rsidR="00165482" w:rsidRP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Senhor Presidente, Nobres Vereadores:</w:t>
      </w:r>
    </w:p>
    <w:p w:rsidR="00165482" w:rsidRPr="00165482" w:rsidRDefault="00165482" w:rsidP="00165482">
      <w:pPr>
        <w:pStyle w:val="Normal1"/>
        <w:spacing w:before="0" w:after="0"/>
        <w:rPr>
          <w:rFonts w:ascii="Times New Roman" w:eastAsia="Arial" w:hAnsi="Times New Roman" w:cs="Times New Roman"/>
        </w:rPr>
      </w:pPr>
    </w:p>
    <w:p w:rsid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Ao cumprimentá-los, aproveito o ensejo para enviar a apreciação desta Casa o presente Projeto de Lei que trata da Lei de Diretrizes Orçamentárias para o exercício financeiro de 2020.</w:t>
      </w:r>
    </w:p>
    <w:p w:rsidR="00165482" w:rsidRPr="00165482" w:rsidRDefault="00165482" w:rsidP="00165482">
      <w:pPr>
        <w:pStyle w:val="Normal1"/>
        <w:spacing w:before="0" w:after="0"/>
        <w:ind w:firstLine="708"/>
        <w:rPr>
          <w:rFonts w:ascii="Times New Roman" w:eastAsia="Arial" w:hAnsi="Times New Roman" w:cs="Times New Roman"/>
        </w:rPr>
      </w:pPr>
    </w:p>
    <w:p w:rsid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Estão previstas as prioridades desta administração para o próximo ano, levando em conta as projeções de arrecadação elaboradas pela Secretaria Municipal da Fazenda.</w:t>
      </w:r>
    </w:p>
    <w:p w:rsidR="00165482" w:rsidRPr="00165482" w:rsidRDefault="00165482" w:rsidP="00165482">
      <w:pPr>
        <w:pStyle w:val="Normal1"/>
        <w:spacing w:before="0" w:after="0"/>
        <w:ind w:firstLine="708"/>
        <w:rPr>
          <w:rFonts w:ascii="Times New Roman" w:eastAsia="Arial" w:hAnsi="Times New Roman" w:cs="Times New Roman"/>
        </w:rPr>
      </w:pPr>
    </w:p>
    <w:p w:rsidR="00165482" w:rsidRDefault="00165482" w:rsidP="00165482">
      <w:pPr>
        <w:pStyle w:val="Normal1"/>
        <w:spacing w:before="0" w:after="0"/>
        <w:ind w:firstLine="708"/>
        <w:rPr>
          <w:rFonts w:ascii="Times New Roman" w:hAnsi="Times New Roman" w:cs="Times New Roman"/>
          <w:color w:val="000000"/>
          <w:shd w:val="clear" w:color="auto" w:fill="FFFFFF"/>
        </w:rPr>
      </w:pPr>
      <w:r w:rsidRPr="00165482">
        <w:rPr>
          <w:rFonts w:ascii="Times New Roman" w:eastAsia="Arial" w:hAnsi="Times New Roman" w:cs="Times New Roman"/>
        </w:rPr>
        <w:t xml:space="preserve">Observa-se que </w:t>
      </w:r>
      <w:r w:rsidRPr="00165482">
        <w:rPr>
          <w:rFonts w:ascii="Times New Roman" w:eastAsia="Arial" w:hAnsi="Times New Roman" w:cs="Times New Roman"/>
          <w:color w:val="000000"/>
        </w:rPr>
        <w:t xml:space="preserve">para o suporte de dotação para a Despesa foi considerado um valor estimado de R$1.500.000,00 decorrentes de superávit de exercícios anteriores, tem como referência o boletim de Caixa n. 127/2019, de 30/07/2019. Valor este que poderá ser utilizado em 2020, conforme </w:t>
      </w:r>
      <w:r w:rsidRPr="00165482">
        <w:rPr>
          <w:rFonts w:ascii="Times New Roman" w:hAnsi="Times New Roman" w:cs="Times New Roman"/>
          <w:color w:val="000000"/>
          <w:shd w:val="clear" w:color="auto" w:fill="FFFFFF"/>
        </w:rPr>
        <w:t>§ 2º, do Art. 6</w:t>
      </w:r>
      <w:r w:rsidRPr="00165482">
        <w:rPr>
          <w:rFonts w:ascii="Times New Roman" w:hAnsi="Times New Roman" w:cs="Times New Roman"/>
          <w:color w:val="000000"/>
          <w:u w:val="single"/>
          <w:shd w:val="clear" w:color="auto" w:fill="FFFFFF"/>
        </w:rPr>
        <w:t>º</w:t>
      </w:r>
      <w:r w:rsidRPr="00165482">
        <w:rPr>
          <w:rFonts w:ascii="Times New Roman" w:hAnsi="Times New Roman" w:cs="Times New Roman"/>
          <w:color w:val="000000"/>
          <w:shd w:val="clear" w:color="auto" w:fill="FFFFFF"/>
        </w:rPr>
        <w:t>, da Lei 4.320/1964. Bem assim foram considerados créditos a receber de entidades Estaduais e Federais. Dessa forma a previsão da Receita e da Despesa foi elevada de R$20.000.000,00 para R$21.500.000,00.</w:t>
      </w:r>
    </w:p>
    <w:p w:rsidR="00165482" w:rsidRPr="00165482" w:rsidRDefault="00165482" w:rsidP="00165482">
      <w:pPr>
        <w:pStyle w:val="Normal1"/>
        <w:spacing w:before="0" w:after="0"/>
        <w:ind w:firstLine="708"/>
        <w:rPr>
          <w:rFonts w:ascii="Times New Roman" w:eastAsia="Arial" w:hAnsi="Times New Roman" w:cs="Times New Roman"/>
        </w:rPr>
      </w:pPr>
    </w:p>
    <w:p w:rsidR="00165482" w:rsidRP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Estas são as justificativas que nos levam a enviar o presente Projeto de Lei.</w:t>
      </w:r>
    </w:p>
    <w:p w:rsid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Atenciosamente,</w:t>
      </w:r>
    </w:p>
    <w:p w:rsidR="00165482" w:rsidRPr="00165482" w:rsidRDefault="00165482" w:rsidP="00165482">
      <w:pPr>
        <w:pStyle w:val="Normal1"/>
        <w:spacing w:before="0" w:after="0"/>
        <w:ind w:firstLine="708"/>
        <w:rPr>
          <w:rFonts w:ascii="Times New Roman" w:eastAsia="Arial" w:hAnsi="Times New Roman" w:cs="Times New Roman"/>
        </w:rPr>
      </w:pPr>
    </w:p>
    <w:p w:rsidR="00165482" w:rsidRDefault="00165482" w:rsidP="00165482">
      <w:pPr>
        <w:pStyle w:val="Normal1"/>
        <w:spacing w:before="0" w:after="0"/>
        <w:ind w:firstLine="708"/>
        <w:rPr>
          <w:rFonts w:ascii="Times New Roman" w:eastAsia="Arial" w:hAnsi="Times New Roman" w:cs="Times New Roman"/>
        </w:rPr>
      </w:pPr>
      <w:r w:rsidRPr="00165482">
        <w:rPr>
          <w:rFonts w:ascii="Times New Roman" w:eastAsia="Arial" w:hAnsi="Times New Roman" w:cs="Times New Roman"/>
        </w:rPr>
        <w:t xml:space="preserve">São Valentim, RS, </w:t>
      </w:r>
      <w:r>
        <w:rPr>
          <w:rFonts w:ascii="Times New Roman" w:eastAsia="Arial" w:hAnsi="Times New Roman" w:cs="Times New Roman"/>
        </w:rPr>
        <w:t>11</w:t>
      </w:r>
      <w:r w:rsidRPr="00165482">
        <w:rPr>
          <w:rFonts w:ascii="Times New Roman" w:eastAsia="Arial" w:hAnsi="Times New Roman" w:cs="Times New Roman"/>
        </w:rPr>
        <w:t xml:space="preserve"> </w:t>
      </w:r>
      <w:r>
        <w:rPr>
          <w:rFonts w:ascii="Times New Roman" w:eastAsia="Arial" w:hAnsi="Times New Roman" w:cs="Times New Roman"/>
        </w:rPr>
        <w:t>de setembro</w:t>
      </w:r>
      <w:r w:rsidRPr="00165482">
        <w:rPr>
          <w:rFonts w:ascii="Times New Roman" w:eastAsia="Arial" w:hAnsi="Times New Roman" w:cs="Times New Roman"/>
        </w:rPr>
        <w:t xml:space="preserve"> de 2019</w:t>
      </w:r>
      <w:r>
        <w:rPr>
          <w:rFonts w:ascii="Times New Roman" w:eastAsia="Arial" w:hAnsi="Times New Roman" w:cs="Times New Roman"/>
        </w:rPr>
        <w:t>.</w:t>
      </w:r>
    </w:p>
    <w:p w:rsidR="00165482" w:rsidRDefault="00165482" w:rsidP="00165482">
      <w:pPr>
        <w:pStyle w:val="Normal1"/>
        <w:spacing w:before="0" w:after="0"/>
        <w:ind w:firstLine="708"/>
        <w:rPr>
          <w:rFonts w:ascii="Times New Roman" w:eastAsia="Arial" w:hAnsi="Times New Roman" w:cs="Times New Roman"/>
        </w:rPr>
      </w:pPr>
    </w:p>
    <w:p w:rsidR="00165482" w:rsidRPr="00165482" w:rsidRDefault="00165482" w:rsidP="00165482">
      <w:pPr>
        <w:pStyle w:val="Normal1"/>
        <w:spacing w:before="0" w:after="0"/>
        <w:ind w:firstLine="708"/>
        <w:rPr>
          <w:rFonts w:ascii="Times New Roman" w:eastAsia="Arial" w:hAnsi="Times New Roman" w:cs="Times New Roman"/>
        </w:rPr>
      </w:pPr>
    </w:p>
    <w:p w:rsidR="00165482" w:rsidRPr="00165482" w:rsidRDefault="00165482" w:rsidP="00165482">
      <w:pPr>
        <w:pStyle w:val="Normal1"/>
        <w:spacing w:before="0" w:after="0"/>
        <w:ind w:firstLine="142"/>
        <w:jc w:val="center"/>
        <w:rPr>
          <w:rFonts w:ascii="Times New Roman" w:eastAsia="Arial" w:hAnsi="Times New Roman" w:cs="Times New Roman"/>
        </w:rPr>
      </w:pPr>
    </w:p>
    <w:p w:rsidR="00165482" w:rsidRPr="00165482" w:rsidRDefault="00165482" w:rsidP="00165482">
      <w:pPr>
        <w:pStyle w:val="Normal1"/>
        <w:spacing w:before="0" w:after="0"/>
        <w:ind w:firstLine="142"/>
        <w:jc w:val="center"/>
        <w:rPr>
          <w:rFonts w:ascii="Times New Roman" w:eastAsia="Arial" w:hAnsi="Times New Roman" w:cs="Times New Roman"/>
        </w:rPr>
      </w:pPr>
      <w:r w:rsidRPr="00165482">
        <w:rPr>
          <w:rFonts w:ascii="Times New Roman" w:eastAsia="Arial" w:hAnsi="Times New Roman" w:cs="Times New Roman"/>
        </w:rPr>
        <w:t>CLEOMAR JOÃO SCANDOLARA</w:t>
      </w:r>
    </w:p>
    <w:p w:rsidR="00165482" w:rsidRPr="00165482" w:rsidRDefault="00165482" w:rsidP="00165482">
      <w:pPr>
        <w:pStyle w:val="Normal1"/>
        <w:spacing w:before="0" w:after="0"/>
        <w:ind w:firstLine="0"/>
        <w:jc w:val="center"/>
        <w:rPr>
          <w:rFonts w:ascii="Times New Roman" w:eastAsia="Arial" w:hAnsi="Times New Roman" w:cs="Times New Roman"/>
        </w:rPr>
      </w:pPr>
      <w:r w:rsidRPr="00165482">
        <w:rPr>
          <w:rFonts w:ascii="Times New Roman" w:eastAsia="Arial" w:hAnsi="Times New Roman" w:cs="Times New Roman"/>
        </w:rPr>
        <w:t>Prefeito</w:t>
      </w:r>
      <w:r>
        <w:rPr>
          <w:rFonts w:ascii="Times New Roman" w:eastAsia="Arial" w:hAnsi="Times New Roman" w:cs="Times New Roman"/>
        </w:rPr>
        <w:t xml:space="preserve"> Municipal</w:t>
      </w:r>
    </w:p>
    <w:p w:rsidR="00642EA4" w:rsidRPr="00165482" w:rsidRDefault="00642EA4" w:rsidP="00165482">
      <w:pPr>
        <w:spacing w:line="360" w:lineRule="auto"/>
        <w:ind w:right="-2" w:firstLine="1418"/>
        <w:jc w:val="both"/>
        <w:rPr>
          <w:rFonts w:ascii="Times New Roman" w:hAnsi="Times New Roman"/>
        </w:rPr>
      </w:pPr>
    </w:p>
    <w:sectPr w:rsidR="00642EA4" w:rsidRPr="00165482" w:rsidSect="00796C8F">
      <w:headerReference w:type="default" r:id="rId11"/>
      <w:footerReference w:type="default" r:id="rId12"/>
      <w:headerReference w:type="first" r:id="rId13"/>
      <w:footerReference w:type="first" r:id="rId14"/>
      <w:pgSz w:w="11907" w:h="16840" w:code="9"/>
      <w:pgMar w:top="1985" w:right="1418" w:bottom="1701" w:left="1548" w:header="397" w:footer="93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88" w:rsidRDefault="009A6B88" w:rsidP="009F11A6">
      <w:r>
        <w:separator/>
      </w:r>
    </w:p>
  </w:endnote>
  <w:endnote w:type="continuationSeparator" w:id="0">
    <w:p w:rsidR="009A6B88" w:rsidRDefault="009A6B88" w:rsidP="009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Graphite Light ATT">
    <w:altName w:val="Mistral"/>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EKEFP+TimesNewRoman">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82" w:rsidRDefault="00165482" w:rsidP="00EB0436">
    <w:pPr>
      <w:pStyle w:val="Rodap"/>
      <w:spacing w:line="276" w:lineRule="auto"/>
      <w:ind w:right="360"/>
    </w:pPr>
    <w:r>
      <w:rPr>
        <w:noProof/>
      </w:rPr>
      <w:drawing>
        <wp:anchor distT="0" distB="0" distL="114300" distR="114300" simplePos="0" relativeHeight="251659264" behindDoc="0" locked="0" layoutInCell="1" allowOverlap="1">
          <wp:simplePos x="0" y="0"/>
          <wp:positionH relativeFrom="column">
            <wp:posOffset>4617085</wp:posOffset>
          </wp:positionH>
          <wp:positionV relativeFrom="paragraph">
            <wp:posOffset>3175</wp:posOffset>
          </wp:positionV>
          <wp:extent cx="1048385" cy="551815"/>
          <wp:effectExtent l="0" t="0" r="0" b="635"/>
          <wp:wrapThrough wrapText="bothSides">
            <wp:wrapPolygon edited="0">
              <wp:start x="0" y="0"/>
              <wp:lineTo x="0" y="20879"/>
              <wp:lineTo x="21194" y="20879"/>
              <wp:lineTo x="21194" y="0"/>
              <wp:lineTo x="0" y="0"/>
            </wp:wrapPolygon>
          </wp:wrapThrough>
          <wp:docPr id="3" name="Imagem 78" descr="Logomarca Prefeitura São Valentim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8" descr="Logomarca Prefeitura São Valentim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518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Praça Presidente Tancredo de Almeida Neves, </w:t>
    </w:r>
    <w:proofErr w:type="gramStart"/>
    <w:r>
      <w:t>30</w:t>
    </w:r>
    <w:proofErr w:type="gramEnd"/>
  </w:p>
  <w:p w:rsidR="00165482" w:rsidRDefault="00165482" w:rsidP="00EB0436">
    <w:pPr>
      <w:pStyle w:val="Rodap"/>
      <w:spacing w:line="276" w:lineRule="auto"/>
      <w:ind w:right="360"/>
    </w:pPr>
    <w:proofErr w:type="spellStart"/>
    <w:proofErr w:type="gramStart"/>
    <w:r>
      <w:t>Cep</w:t>
    </w:r>
    <w:proofErr w:type="spellEnd"/>
    <w:proofErr w:type="gramEnd"/>
    <w:r>
      <w:t>: 99.640-000 – Centro São Valentim/RS</w:t>
    </w:r>
  </w:p>
  <w:p w:rsidR="00165482" w:rsidRDefault="00165482" w:rsidP="00EB0436">
    <w:pPr>
      <w:pStyle w:val="Rodap"/>
      <w:spacing w:line="276" w:lineRule="auto"/>
      <w:ind w:right="360"/>
    </w:pPr>
    <w:r>
      <w:t>Fones: (54) 3373-1206 / 3373-1224</w:t>
    </w:r>
    <w:r>
      <w:tab/>
      <w:t xml:space="preserve">     CNPJ: 87.613.378/0001-49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82" w:rsidRDefault="00165482" w:rsidP="00A93BA0">
    <w:pPr>
      <w:pStyle w:val="Rodap"/>
      <w:spacing w:line="276" w:lineRule="auto"/>
      <w:ind w:right="360"/>
    </w:pPr>
    <w:r>
      <w:rPr>
        <w:noProof/>
      </w:rPr>
      <w:drawing>
        <wp:anchor distT="0" distB="0" distL="114300" distR="114300" simplePos="0" relativeHeight="251657216" behindDoc="0" locked="0" layoutInCell="1" allowOverlap="1">
          <wp:simplePos x="0" y="0"/>
          <wp:positionH relativeFrom="column">
            <wp:posOffset>4617085</wp:posOffset>
          </wp:positionH>
          <wp:positionV relativeFrom="paragraph">
            <wp:posOffset>3175</wp:posOffset>
          </wp:positionV>
          <wp:extent cx="1048385" cy="551815"/>
          <wp:effectExtent l="0" t="0" r="0" b="635"/>
          <wp:wrapThrough wrapText="bothSides">
            <wp:wrapPolygon edited="0">
              <wp:start x="0" y="0"/>
              <wp:lineTo x="0" y="20879"/>
              <wp:lineTo x="21194" y="20879"/>
              <wp:lineTo x="21194" y="0"/>
              <wp:lineTo x="0" y="0"/>
            </wp:wrapPolygon>
          </wp:wrapThrough>
          <wp:docPr id="1" name="Imagem 2" descr="Logomarca Prefeitura São Valentim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 Prefeitura São Valentim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518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Praça Presidente Tancredo de Almeida Neves, </w:t>
    </w:r>
    <w:proofErr w:type="gramStart"/>
    <w:r>
      <w:t>30</w:t>
    </w:r>
    <w:proofErr w:type="gramEnd"/>
  </w:p>
  <w:p w:rsidR="00165482" w:rsidRDefault="00165482" w:rsidP="00A93BA0">
    <w:pPr>
      <w:pStyle w:val="Rodap"/>
      <w:spacing w:line="276" w:lineRule="auto"/>
      <w:ind w:right="360"/>
    </w:pPr>
    <w:proofErr w:type="spellStart"/>
    <w:proofErr w:type="gramStart"/>
    <w:r>
      <w:t>Cep</w:t>
    </w:r>
    <w:proofErr w:type="spellEnd"/>
    <w:proofErr w:type="gramEnd"/>
    <w:r>
      <w:t>: 99.640-000 – Centro São Valentim/RS</w:t>
    </w:r>
  </w:p>
  <w:p w:rsidR="00165482" w:rsidRDefault="00165482" w:rsidP="00A93BA0">
    <w:pPr>
      <w:pStyle w:val="Rodap"/>
      <w:spacing w:line="276" w:lineRule="auto"/>
      <w:ind w:right="360"/>
    </w:pPr>
    <w:r>
      <w:t>Fones: (54) 3373-1206 / 3373-1224</w:t>
    </w:r>
    <w:r>
      <w:tab/>
      <w:t xml:space="preserve">     CNPJ: 87.613.378/0001-49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88" w:rsidRDefault="009A6B88" w:rsidP="009F11A6">
      <w:r>
        <w:separator/>
      </w:r>
    </w:p>
  </w:footnote>
  <w:footnote w:type="continuationSeparator" w:id="0">
    <w:p w:rsidR="009A6B88" w:rsidRDefault="009A6B88" w:rsidP="009F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82" w:rsidRDefault="00165482" w:rsidP="00EB0436">
    <w:pPr>
      <w:pStyle w:val="Cabealho"/>
      <w:spacing w:line="276" w:lineRule="auto"/>
      <w:ind w:left="993" w:right="360"/>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-52070</wp:posOffset>
          </wp:positionV>
          <wp:extent cx="845185" cy="905510"/>
          <wp:effectExtent l="0" t="0" r="0" b="8890"/>
          <wp:wrapThrough wrapText="bothSides">
            <wp:wrapPolygon edited="0">
              <wp:start x="0" y="0"/>
              <wp:lineTo x="0" y="21358"/>
              <wp:lineTo x="20935" y="21358"/>
              <wp:lineTo x="20935" y="0"/>
              <wp:lineTo x="0" y="0"/>
            </wp:wrapPolygon>
          </wp:wrapThrough>
          <wp:docPr id="4" name="Imagem 77"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7"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905510"/>
                  </a:xfrm>
                  <a:prstGeom prst="rect">
                    <a:avLst/>
                  </a:prstGeom>
                  <a:noFill/>
                  <a:ln>
                    <a:noFill/>
                  </a:ln>
                </pic:spPr>
              </pic:pic>
            </a:graphicData>
          </a:graphic>
          <wp14:sizeRelH relativeFrom="page">
            <wp14:pctWidth>0</wp14:pctWidth>
          </wp14:sizeRelH>
          <wp14:sizeRelV relativeFrom="page">
            <wp14:pctHeight>0</wp14:pctHeight>
          </wp14:sizeRelV>
        </wp:anchor>
      </w:drawing>
    </w:r>
    <w:r>
      <w:t>Estado do Rio Grande do Sul</w:t>
    </w:r>
  </w:p>
  <w:p w:rsidR="00165482" w:rsidRDefault="00165482" w:rsidP="00EB0436">
    <w:pPr>
      <w:pStyle w:val="Cabealho"/>
      <w:spacing w:line="276" w:lineRule="auto"/>
      <w:ind w:left="993" w:right="360"/>
      <w:rPr>
        <w:sz w:val="28"/>
        <w:szCs w:val="28"/>
      </w:rPr>
    </w:pPr>
    <w:r>
      <w:rPr>
        <w:b/>
        <w:sz w:val="28"/>
        <w:szCs w:val="28"/>
      </w:rPr>
      <w:t xml:space="preserve">PREFEITURA MUNICIPAL DE </w:t>
    </w:r>
  </w:p>
  <w:p w:rsidR="00165482" w:rsidRPr="00EB0436" w:rsidRDefault="00165482" w:rsidP="00EB0436">
    <w:pPr>
      <w:pStyle w:val="Cabealho"/>
      <w:spacing w:line="276" w:lineRule="auto"/>
      <w:ind w:left="993" w:right="360"/>
      <w:rPr>
        <w:sz w:val="56"/>
        <w:szCs w:val="56"/>
      </w:rPr>
    </w:pPr>
    <w:r>
      <w:rPr>
        <w:b/>
        <w:sz w:val="56"/>
        <w:szCs w:val="56"/>
      </w:rPr>
      <w:t>SÃO VALENTIM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82" w:rsidRDefault="00165482" w:rsidP="00A93BA0">
    <w:pPr>
      <w:pStyle w:val="Cabealho"/>
      <w:spacing w:line="276" w:lineRule="auto"/>
      <w:ind w:left="993" w:right="360"/>
    </w:pPr>
    <w:r>
      <w:rPr>
        <w:noProof/>
      </w:rPr>
      <w:drawing>
        <wp:anchor distT="0" distB="0" distL="114300" distR="114300" simplePos="0" relativeHeight="251656192" behindDoc="0" locked="0" layoutInCell="1" allowOverlap="1">
          <wp:simplePos x="0" y="0"/>
          <wp:positionH relativeFrom="column">
            <wp:posOffset>-295275</wp:posOffset>
          </wp:positionH>
          <wp:positionV relativeFrom="paragraph">
            <wp:posOffset>-52070</wp:posOffset>
          </wp:positionV>
          <wp:extent cx="845185" cy="905510"/>
          <wp:effectExtent l="0" t="0" r="0" b="8890"/>
          <wp:wrapThrough wrapText="bothSides">
            <wp:wrapPolygon edited="0">
              <wp:start x="0" y="0"/>
              <wp:lineTo x="0" y="21358"/>
              <wp:lineTo x="20935" y="21358"/>
              <wp:lineTo x="20935" y="0"/>
              <wp:lineTo x="0" y="0"/>
            </wp:wrapPolygon>
          </wp:wrapThrough>
          <wp:docPr id="2" name="Imagem 79"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9"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905510"/>
                  </a:xfrm>
                  <a:prstGeom prst="rect">
                    <a:avLst/>
                  </a:prstGeom>
                  <a:noFill/>
                  <a:ln>
                    <a:noFill/>
                  </a:ln>
                </pic:spPr>
              </pic:pic>
            </a:graphicData>
          </a:graphic>
          <wp14:sizeRelH relativeFrom="page">
            <wp14:pctWidth>0</wp14:pctWidth>
          </wp14:sizeRelH>
          <wp14:sizeRelV relativeFrom="page">
            <wp14:pctHeight>0</wp14:pctHeight>
          </wp14:sizeRelV>
        </wp:anchor>
      </w:drawing>
    </w:r>
    <w:r>
      <w:t>Estado do Rio Grande do Sul</w:t>
    </w:r>
  </w:p>
  <w:p w:rsidR="00165482" w:rsidRDefault="00165482" w:rsidP="00A93BA0">
    <w:pPr>
      <w:pStyle w:val="Cabealho"/>
      <w:spacing w:line="276" w:lineRule="auto"/>
      <w:ind w:left="993" w:right="360"/>
      <w:rPr>
        <w:sz w:val="28"/>
        <w:szCs w:val="28"/>
      </w:rPr>
    </w:pPr>
    <w:r>
      <w:rPr>
        <w:b/>
        <w:sz w:val="28"/>
        <w:szCs w:val="28"/>
      </w:rPr>
      <w:t xml:space="preserve">PREFEITURA MUNICIPAL DE </w:t>
    </w:r>
  </w:p>
  <w:p w:rsidR="00165482" w:rsidRDefault="00165482" w:rsidP="00A93BA0">
    <w:pPr>
      <w:pStyle w:val="Cabealho"/>
      <w:spacing w:line="276" w:lineRule="auto"/>
      <w:ind w:left="993" w:right="360"/>
      <w:rPr>
        <w:sz w:val="56"/>
        <w:szCs w:val="56"/>
      </w:rPr>
    </w:pPr>
    <w:r>
      <w:rPr>
        <w:b/>
        <w:sz w:val="56"/>
        <w:szCs w:val="56"/>
      </w:rPr>
      <w:t>SÃO VALENTIM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6CF4B8"/>
    <w:lvl w:ilvl="0" w:tplc="A4A85EDA">
      <w:start w:val="35"/>
      <w:numFmt w:val="upperLetter"/>
      <w:suff w:val="nothing"/>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3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5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0B"/>
    <w:rsid w:val="000044FA"/>
    <w:rsid w:val="00022C78"/>
    <w:rsid w:val="00023CD0"/>
    <w:rsid w:val="000307A0"/>
    <w:rsid w:val="000334FE"/>
    <w:rsid w:val="00034D08"/>
    <w:rsid w:val="00037FFB"/>
    <w:rsid w:val="0004419C"/>
    <w:rsid w:val="00055F98"/>
    <w:rsid w:val="00064F3D"/>
    <w:rsid w:val="0007189E"/>
    <w:rsid w:val="00072BD9"/>
    <w:rsid w:val="00075731"/>
    <w:rsid w:val="00082271"/>
    <w:rsid w:val="000870AE"/>
    <w:rsid w:val="00087A9A"/>
    <w:rsid w:val="000929C8"/>
    <w:rsid w:val="000A120C"/>
    <w:rsid w:val="000A3E61"/>
    <w:rsid w:val="000A422B"/>
    <w:rsid w:val="000B1DD7"/>
    <w:rsid w:val="000C2193"/>
    <w:rsid w:val="000D1026"/>
    <w:rsid w:val="000D5C02"/>
    <w:rsid w:val="000E07BB"/>
    <w:rsid w:val="000E6F83"/>
    <w:rsid w:val="000E7478"/>
    <w:rsid w:val="000F1E91"/>
    <w:rsid w:val="000F5F0F"/>
    <w:rsid w:val="00103964"/>
    <w:rsid w:val="00105FC3"/>
    <w:rsid w:val="00113AE0"/>
    <w:rsid w:val="00135F4C"/>
    <w:rsid w:val="00137BC8"/>
    <w:rsid w:val="00142C7E"/>
    <w:rsid w:val="00154525"/>
    <w:rsid w:val="00160D76"/>
    <w:rsid w:val="00165482"/>
    <w:rsid w:val="00176412"/>
    <w:rsid w:val="001913DB"/>
    <w:rsid w:val="001A4FC8"/>
    <w:rsid w:val="001B5576"/>
    <w:rsid w:val="001B73E4"/>
    <w:rsid w:val="001C320B"/>
    <w:rsid w:val="001D0270"/>
    <w:rsid w:val="001E11AB"/>
    <w:rsid w:val="001F076C"/>
    <w:rsid w:val="00220D05"/>
    <w:rsid w:val="00221ACA"/>
    <w:rsid w:val="0024185C"/>
    <w:rsid w:val="00243AE8"/>
    <w:rsid w:val="0024636A"/>
    <w:rsid w:val="00255859"/>
    <w:rsid w:val="00256788"/>
    <w:rsid w:val="0026103D"/>
    <w:rsid w:val="0026108C"/>
    <w:rsid w:val="00263538"/>
    <w:rsid w:val="00270377"/>
    <w:rsid w:val="00277673"/>
    <w:rsid w:val="00286561"/>
    <w:rsid w:val="002969AF"/>
    <w:rsid w:val="002A3ECA"/>
    <w:rsid w:val="002B0854"/>
    <w:rsid w:val="002B5EE6"/>
    <w:rsid w:val="002C1DEA"/>
    <w:rsid w:val="002D5EC7"/>
    <w:rsid w:val="002E1854"/>
    <w:rsid w:val="002E5E6B"/>
    <w:rsid w:val="002F05CC"/>
    <w:rsid w:val="002F4A54"/>
    <w:rsid w:val="00305C9A"/>
    <w:rsid w:val="00326BC8"/>
    <w:rsid w:val="0033625A"/>
    <w:rsid w:val="003375FC"/>
    <w:rsid w:val="00342195"/>
    <w:rsid w:val="003546A3"/>
    <w:rsid w:val="00357CD3"/>
    <w:rsid w:val="003632FA"/>
    <w:rsid w:val="0036648A"/>
    <w:rsid w:val="00376059"/>
    <w:rsid w:val="003815E3"/>
    <w:rsid w:val="00396D3D"/>
    <w:rsid w:val="003A5C64"/>
    <w:rsid w:val="003F601F"/>
    <w:rsid w:val="0040024F"/>
    <w:rsid w:val="004074D8"/>
    <w:rsid w:val="00411B61"/>
    <w:rsid w:val="004200E9"/>
    <w:rsid w:val="004214A5"/>
    <w:rsid w:val="00423F0D"/>
    <w:rsid w:val="00424BCE"/>
    <w:rsid w:val="00427E96"/>
    <w:rsid w:val="00452980"/>
    <w:rsid w:val="004563E9"/>
    <w:rsid w:val="00465ABA"/>
    <w:rsid w:val="00493F67"/>
    <w:rsid w:val="00494155"/>
    <w:rsid w:val="00497213"/>
    <w:rsid w:val="00497608"/>
    <w:rsid w:val="004A7F42"/>
    <w:rsid w:val="004B3897"/>
    <w:rsid w:val="004C7582"/>
    <w:rsid w:val="004D0074"/>
    <w:rsid w:val="004D1EBA"/>
    <w:rsid w:val="004E4179"/>
    <w:rsid w:val="004E67ED"/>
    <w:rsid w:val="004F4BBB"/>
    <w:rsid w:val="004F52D8"/>
    <w:rsid w:val="004F644F"/>
    <w:rsid w:val="00500536"/>
    <w:rsid w:val="00504591"/>
    <w:rsid w:val="00507C0A"/>
    <w:rsid w:val="00507DF4"/>
    <w:rsid w:val="0051548A"/>
    <w:rsid w:val="00530CFE"/>
    <w:rsid w:val="00536665"/>
    <w:rsid w:val="00543EEC"/>
    <w:rsid w:val="00552B9A"/>
    <w:rsid w:val="00553294"/>
    <w:rsid w:val="00567942"/>
    <w:rsid w:val="00570E97"/>
    <w:rsid w:val="00575C34"/>
    <w:rsid w:val="00581099"/>
    <w:rsid w:val="005932A7"/>
    <w:rsid w:val="00596144"/>
    <w:rsid w:val="0059636D"/>
    <w:rsid w:val="005A25B3"/>
    <w:rsid w:val="005A4D79"/>
    <w:rsid w:val="005B76C6"/>
    <w:rsid w:val="005B773D"/>
    <w:rsid w:val="005C583F"/>
    <w:rsid w:val="005D65FE"/>
    <w:rsid w:val="005E16EA"/>
    <w:rsid w:val="005E2019"/>
    <w:rsid w:val="005E7237"/>
    <w:rsid w:val="00610C73"/>
    <w:rsid w:val="00612D00"/>
    <w:rsid w:val="00613D8B"/>
    <w:rsid w:val="00634BB4"/>
    <w:rsid w:val="00641A81"/>
    <w:rsid w:val="00642EA4"/>
    <w:rsid w:val="00655707"/>
    <w:rsid w:val="00655D87"/>
    <w:rsid w:val="00657F38"/>
    <w:rsid w:val="0066256F"/>
    <w:rsid w:val="00675AAD"/>
    <w:rsid w:val="00684ECF"/>
    <w:rsid w:val="0068772B"/>
    <w:rsid w:val="00693846"/>
    <w:rsid w:val="006A1592"/>
    <w:rsid w:val="006A1EAE"/>
    <w:rsid w:val="006A42BB"/>
    <w:rsid w:val="006B14A7"/>
    <w:rsid w:val="006C03AA"/>
    <w:rsid w:val="006C38C2"/>
    <w:rsid w:val="006D2CF9"/>
    <w:rsid w:val="006E4CCF"/>
    <w:rsid w:val="006E5877"/>
    <w:rsid w:val="00702D4C"/>
    <w:rsid w:val="007118E4"/>
    <w:rsid w:val="00722F60"/>
    <w:rsid w:val="007269F5"/>
    <w:rsid w:val="00726B29"/>
    <w:rsid w:val="00727C28"/>
    <w:rsid w:val="007304BF"/>
    <w:rsid w:val="0078212D"/>
    <w:rsid w:val="00786ECF"/>
    <w:rsid w:val="00794DE3"/>
    <w:rsid w:val="00796C8F"/>
    <w:rsid w:val="007A3BAD"/>
    <w:rsid w:val="007B2AF6"/>
    <w:rsid w:val="007C6AB2"/>
    <w:rsid w:val="007D0F3C"/>
    <w:rsid w:val="007D1181"/>
    <w:rsid w:val="007D7C43"/>
    <w:rsid w:val="008021D8"/>
    <w:rsid w:val="0080374D"/>
    <w:rsid w:val="0080446C"/>
    <w:rsid w:val="008054FA"/>
    <w:rsid w:val="00811717"/>
    <w:rsid w:val="00813361"/>
    <w:rsid w:val="0082029B"/>
    <w:rsid w:val="008248BE"/>
    <w:rsid w:val="00827CA6"/>
    <w:rsid w:val="00833219"/>
    <w:rsid w:val="008358E9"/>
    <w:rsid w:val="00854C47"/>
    <w:rsid w:val="008722B1"/>
    <w:rsid w:val="008750D6"/>
    <w:rsid w:val="00875346"/>
    <w:rsid w:val="00883EA6"/>
    <w:rsid w:val="008A3731"/>
    <w:rsid w:val="008A509F"/>
    <w:rsid w:val="008D2ABF"/>
    <w:rsid w:val="008E1B47"/>
    <w:rsid w:val="008E350C"/>
    <w:rsid w:val="008E5F70"/>
    <w:rsid w:val="008F4326"/>
    <w:rsid w:val="00900F12"/>
    <w:rsid w:val="00903BFD"/>
    <w:rsid w:val="00913077"/>
    <w:rsid w:val="0092186E"/>
    <w:rsid w:val="0095118B"/>
    <w:rsid w:val="00955B9A"/>
    <w:rsid w:val="00961C1D"/>
    <w:rsid w:val="00962D57"/>
    <w:rsid w:val="00976D5C"/>
    <w:rsid w:val="00981786"/>
    <w:rsid w:val="00984C28"/>
    <w:rsid w:val="0098651A"/>
    <w:rsid w:val="009912EE"/>
    <w:rsid w:val="00996445"/>
    <w:rsid w:val="0099727F"/>
    <w:rsid w:val="009A5580"/>
    <w:rsid w:val="009A6B2E"/>
    <w:rsid w:val="009A6B88"/>
    <w:rsid w:val="009B1070"/>
    <w:rsid w:val="009C7A08"/>
    <w:rsid w:val="009D3643"/>
    <w:rsid w:val="009D4A8D"/>
    <w:rsid w:val="009D5380"/>
    <w:rsid w:val="009E1D58"/>
    <w:rsid w:val="009E32C0"/>
    <w:rsid w:val="009E3362"/>
    <w:rsid w:val="009E3FE3"/>
    <w:rsid w:val="009F0A19"/>
    <w:rsid w:val="009F11A6"/>
    <w:rsid w:val="00A13312"/>
    <w:rsid w:val="00A1416A"/>
    <w:rsid w:val="00A37559"/>
    <w:rsid w:val="00A531FD"/>
    <w:rsid w:val="00A65BC6"/>
    <w:rsid w:val="00A71391"/>
    <w:rsid w:val="00A779C3"/>
    <w:rsid w:val="00A77DDA"/>
    <w:rsid w:val="00A80A38"/>
    <w:rsid w:val="00A8243A"/>
    <w:rsid w:val="00A87A91"/>
    <w:rsid w:val="00A91213"/>
    <w:rsid w:val="00A926FC"/>
    <w:rsid w:val="00A93BA0"/>
    <w:rsid w:val="00A93C75"/>
    <w:rsid w:val="00A978C1"/>
    <w:rsid w:val="00AA28B4"/>
    <w:rsid w:val="00AA392C"/>
    <w:rsid w:val="00AC2FDA"/>
    <w:rsid w:val="00AC3A53"/>
    <w:rsid w:val="00AC3CE0"/>
    <w:rsid w:val="00AD770F"/>
    <w:rsid w:val="00AE2F7A"/>
    <w:rsid w:val="00AE7E4B"/>
    <w:rsid w:val="00AF4447"/>
    <w:rsid w:val="00B01520"/>
    <w:rsid w:val="00B12359"/>
    <w:rsid w:val="00B14312"/>
    <w:rsid w:val="00B213D2"/>
    <w:rsid w:val="00B2641C"/>
    <w:rsid w:val="00B26EFC"/>
    <w:rsid w:val="00B31902"/>
    <w:rsid w:val="00B3478E"/>
    <w:rsid w:val="00B5166F"/>
    <w:rsid w:val="00B53078"/>
    <w:rsid w:val="00B5556A"/>
    <w:rsid w:val="00B555D1"/>
    <w:rsid w:val="00B601DF"/>
    <w:rsid w:val="00B61F28"/>
    <w:rsid w:val="00B66B28"/>
    <w:rsid w:val="00B871FB"/>
    <w:rsid w:val="00B87983"/>
    <w:rsid w:val="00B87A83"/>
    <w:rsid w:val="00B97D1D"/>
    <w:rsid w:val="00BA3D6B"/>
    <w:rsid w:val="00BB0CD4"/>
    <w:rsid w:val="00BC0F0C"/>
    <w:rsid w:val="00BC2EEB"/>
    <w:rsid w:val="00BC37B7"/>
    <w:rsid w:val="00BD75B3"/>
    <w:rsid w:val="00BE0B5F"/>
    <w:rsid w:val="00BE0E50"/>
    <w:rsid w:val="00BE3D1F"/>
    <w:rsid w:val="00BE411D"/>
    <w:rsid w:val="00BE4197"/>
    <w:rsid w:val="00BE7800"/>
    <w:rsid w:val="00BE7B66"/>
    <w:rsid w:val="00C11D20"/>
    <w:rsid w:val="00C177A2"/>
    <w:rsid w:val="00C32E73"/>
    <w:rsid w:val="00C50B35"/>
    <w:rsid w:val="00C51A16"/>
    <w:rsid w:val="00C805D2"/>
    <w:rsid w:val="00C83056"/>
    <w:rsid w:val="00C84DBA"/>
    <w:rsid w:val="00C90109"/>
    <w:rsid w:val="00C90D4B"/>
    <w:rsid w:val="00C95A0C"/>
    <w:rsid w:val="00CD613C"/>
    <w:rsid w:val="00D0108C"/>
    <w:rsid w:val="00D04584"/>
    <w:rsid w:val="00D13FEE"/>
    <w:rsid w:val="00D20016"/>
    <w:rsid w:val="00D359F1"/>
    <w:rsid w:val="00D36BBB"/>
    <w:rsid w:val="00D41994"/>
    <w:rsid w:val="00D87187"/>
    <w:rsid w:val="00D93EE0"/>
    <w:rsid w:val="00DA0EAF"/>
    <w:rsid w:val="00DA1CFD"/>
    <w:rsid w:val="00DA2E1C"/>
    <w:rsid w:val="00DA3911"/>
    <w:rsid w:val="00DA3F45"/>
    <w:rsid w:val="00DB4C10"/>
    <w:rsid w:val="00DC2B11"/>
    <w:rsid w:val="00DD4C5D"/>
    <w:rsid w:val="00DD507A"/>
    <w:rsid w:val="00DE0225"/>
    <w:rsid w:val="00DE1E28"/>
    <w:rsid w:val="00DE231B"/>
    <w:rsid w:val="00DE35D2"/>
    <w:rsid w:val="00DE5D13"/>
    <w:rsid w:val="00DF1ED0"/>
    <w:rsid w:val="00E13E82"/>
    <w:rsid w:val="00E26BC2"/>
    <w:rsid w:val="00E43D8F"/>
    <w:rsid w:val="00E44D35"/>
    <w:rsid w:val="00E47C3B"/>
    <w:rsid w:val="00E554A7"/>
    <w:rsid w:val="00E55A8B"/>
    <w:rsid w:val="00E61152"/>
    <w:rsid w:val="00E67A72"/>
    <w:rsid w:val="00E73A68"/>
    <w:rsid w:val="00E80567"/>
    <w:rsid w:val="00E93C5D"/>
    <w:rsid w:val="00E965EB"/>
    <w:rsid w:val="00EB0436"/>
    <w:rsid w:val="00EB1D97"/>
    <w:rsid w:val="00EC4710"/>
    <w:rsid w:val="00EC7475"/>
    <w:rsid w:val="00EC7496"/>
    <w:rsid w:val="00EE316A"/>
    <w:rsid w:val="00EE3665"/>
    <w:rsid w:val="00EE5391"/>
    <w:rsid w:val="00EE7BC0"/>
    <w:rsid w:val="00F05AA4"/>
    <w:rsid w:val="00F258E3"/>
    <w:rsid w:val="00F26849"/>
    <w:rsid w:val="00F3187E"/>
    <w:rsid w:val="00F43C3F"/>
    <w:rsid w:val="00F67E8F"/>
    <w:rsid w:val="00F74F7D"/>
    <w:rsid w:val="00F775C9"/>
    <w:rsid w:val="00F83F3B"/>
    <w:rsid w:val="00F83F69"/>
    <w:rsid w:val="00F96D6B"/>
    <w:rsid w:val="00FA1883"/>
    <w:rsid w:val="00FA2014"/>
    <w:rsid w:val="00FA7BF4"/>
    <w:rsid w:val="00FC4FA7"/>
    <w:rsid w:val="00FC54A1"/>
    <w:rsid w:val="00FD3929"/>
    <w:rsid w:val="00FE1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iPriority="99"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paragraph" w:styleId="Ttulo3">
    <w:name w:val="heading 3"/>
    <w:basedOn w:val="Normal"/>
    <w:next w:val="Normal"/>
    <w:link w:val="Ttulo3Char"/>
    <w:semiHidden/>
    <w:unhideWhenUsed/>
    <w:qFormat/>
    <w:rsid w:val="00C8305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semiHidden/>
    <w:unhideWhenUsed/>
    <w:qFormat/>
    <w:rsid w:val="00613D8B"/>
    <w:pPr>
      <w:keepNext/>
      <w:ind w:left="2925" w:right="-398"/>
      <w:jc w:val="both"/>
      <w:outlineLvl w:val="4"/>
    </w:pPr>
    <w:rPr>
      <w:rFonts w:ascii="Graphite Light ATT" w:hAnsi="Graphite Light ATT"/>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023CD0"/>
    <w:rPr>
      <w:rFonts w:ascii="Tahoma" w:hAnsi="Tahoma" w:cs="Tahoma"/>
      <w:sz w:val="16"/>
      <w:szCs w:val="16"/>
    </w:rPr>
  </w:style>
  <w:style w:type="paragraph" w:styleId="Recuodecorpodetexto">
    <w:name w:val="Body Text Indent"/>
    <w:basedOn w:val="Normal"/>
    <w:link w:val="RecuodecorpodetextoChar"/>
    <w:rsid w:val="00B12359"/>
    <w:pPr>
      <w:spacing w:after="120"/>
      <w:ind w:left="283"/>
    </w:pPr>
    <w:rPr>
      <w:rFonts w:ascii="Times New Roman" w:hAnsi="Times New Roman"/>
      <w:b/>
      <w:sz w:val="22"/>
      <w:szCs w:val="20"/>
    </w:rPr>
  </w:style>
  <w:style w:type="character" w:styleId="Hyperlink">
    <w:name w:val="Hyperlink"/>
    <w:rsid w:val="006C03AA"/>
    <w:rPr>
      <w:color w:val="0000FF"/>
      <w:u w:val="single"/>
    </w:rPr>
  </w:style>
  <w:style w:type="paragraph" w:styleId="Cabealho">
    <w:name w:val="header"/>
    <w:basedOn w:val="Normal"/>
    <w:link w:val="CabealhoChar"/>
    <w:uiPriority w:val="99"/>
    <w:rsid w:val="009F11A6"/>
    <w:pPr>
      <w:tabs>
        <w:tab w:val="center" w:pos="4252"/>
        <w:tab w:val="right" w:pos="8504"/>
      </w:tabs>
    </w:pPr>
  </w:style>
  <w:style w:type="character" w:customStyle="1" w:styleId="CabealhoChar">
    <w:name w:val="Cabeçalho Char"/>
    <w:link w:val="Cabealho"/>
    <w:uiPriority w:val="99"/>
    <w:rsid w:val="009F11A6"/>
    <w:rPr>
      <w:rFonts w:ascii="Book Antiqua" w:hAnsi="Book Antiqua"/>
      <w:sz w:val="24"/>
      <w:szCs w:val="24"/>
    </w:rPr>
  </w:style>
  <w:style w:type="paragraph" w:styleId="Rodap">
    <w:name w:val="footer"/>
    <w:basedOn w:val="Normal"/>
    <w:link w:val="RodapChar"/>
    <w:rsid w:val="009F11A6"/>
    <w:pPr>
      <w:tabs>
        <w:tab w:val="center" w:pos="4252"/>
        <w:tab w:val="right" w:pos="8504"/>
      </w:tabs>
    </w:pPr>
  </w:style>
  <w:style w:type="character" w:customStyle="1" w:styleId="RodapChar">
    <w:name w:val="Rodapé Char"/>
    <w:link w:val="Rodap"/>
    <w:rsid w:val="009F11A6"/>
    <w:rPr>
      <w:rFonts w:ascii="Book Antiqua" w:hAnsi="Book Antiqua"/>
      <w:sz w:val="24"/>
      <w:szCs w:val="24"/>
    </w:rPr>
  </w:style>
  <w:style w:type="paragraph" w:styleId="SemEspaamento">
    <w:name w:val="No Spacing"/>
    <w:uiPriority w:val="1"/>
    <w:qFormat/>
    <w:rsid w:val="00A93BA0"/>
    <w:rPr>
      <w:rFonts w:ascii="Book Antiqua" w:hAnsi="Book Antiqua"/>
      <w:sz w:val="24"/>
      <w:szCs w:val="24"/>
    </w:rPr>
  </w:style>
  <w:style w:type="character" w:styleId="Forte">
    <w:name w:val="Strong"/>
    <w:qFormat/>
    <w:rsid w:val="00C90D4B"/>
    <w:rPr>
      <w:b/>
      <w:bCs/>
    </w:rPr>
  </w:style>
  <w:style w:type="character" w:customStyle="1" w:styleId="RecuodecorpodetextoChar">
    <w:name w:val="Recuo de corpo de texto Char"/>
    <w:link w:val="Recuodecorpodetexto"/>
    <w:rsid w:val="00DF1ED0"/>
    <w:rPr>
      <w:b/>
      <w:sz w:val="22"/>
    </w:rPr>
  </w:style>
  <w:style w:type="character" w:customStyle="1" w:styleId="Ttulo5Char">
    <w:name w:val="Título 5 Char"/>
    <w:link w:val="Ttulo5"/>
    <w:semiHidden/>
    <w:rsid w:val="00613D8B"/>
    <w:rPr>
      <w:rFonts w:ascii="Graphite Light ATT" w:hAnsi="Graphite Light ATT"/>
      <w:b/>
      <w:bCs/>
    </w:rPr>
  </w:style>
  <w:style w:type="paragraph" w:customStyle="1" w:styleId="Default">
    <w:name w:val="Default"/>
    <w:basedOn w:val="Normal"/>
    <w:rsid w:val="004F4BBB"/>
    <w:pPr>
      <w:suppressAutoHyphens/>
      <w:autoSpaceDE w:val="0"/>
    </w:pPr>
    <w:rPr>
      <w:rFonts w:ascii="CEKEFP+TimesNewRoman" w:eastAsia="CEKEFP+TimesNewRoman" w:hAnsi="CEKEFP+TimesNewRoman" w:cs="CEKEFP+TimesNewRoman"/>
      <w:color w:val="000000"/>
      <w:lang w:eastAsia="hi-IN" w:bidi="hi-IN"/>
    </w:rPr>
  </w:style>
  <w:style w:type="paragraph" w:styleId="Recuodecorpodetexto2">
    <w:name w:val="Body Text Indent 2"/>
    <w:basedOn w:val="Normal"/>
    <w:link w:val="Recuodecorpodetexto2Char"/>
    <w:unhideWhenUsed/>
    <w:rsid w:val="00675AAD"/>
    <w:pPr>
      <w:spacing w:after="120" w:line="480" w:lineRule="auto"/>
      <w:ind w:left="283"/>
    </w:pPr>
  </w:style>
  <w:style w:type="character" w:customStyle="1" w:styleId="Recuodecorpodetexto2Char">
    <w:name w:val="Recuo de corpo de texto 2 Char"/>
    <w:link w:val="Recuodecorpodetexto2"/>
    <w:rsid w:val="00675AAD"/>
    <w:rPr>
      <w:rFonts w:ascii="Book Antiqua" w:hAnsi="Book Antiqua"/>
      <w:sz w:val="24"/>
      <w:szCs w:val="24"/>
    </w:rPr>
  </w:style>
  <w:style w:type="paragraph" w:styleId="Recuodecorpodetexto3">
    <w:name w:val="Body Text Indent 3"/>
    <w:basedOn w:val="Normal"/>
    <w:link w:val="Recuodecorpodetexto3Char"/>
    <w:unhideWhenUsed/>
    <w:rsid w:val="00675AAD"/>
    <w:pPr>
      <w:spacing w:after="120"/>
      <w:ind w:left="283"/>
    </w:pPr>
    <w:rPr>
      <w:sz w:val="16"/>
      <w:szCs w:val="16"/>
    </w:rPr>
  </w:style>
  <w:style w:type="character" w:customStyle="1" w:styleId="Recuodecorpodetexto3Char">
    <w:name w:val="Recuo de corpo de texto 3 Char"/>
    <w:link w:val="Recuodecorpodetexto3"/>
    <w:rsid w:val="00675AAD"/>
    <w:rPr>
      <w:rFonts w:ascii="Book Antiqua" w:hAnsi="Book Antiqua"/>
      <w:sz w:val="16"/>
      <w:szCs w:val="16"/>
    </w:rPr>
  </w:style>
  <w:style w:type="paragraph" w:styleId="Corpodetexto">
    <w:name w:val="Body Text"/>
    <w:basedOn w:val="Normal"/>
    <w:link w:val="CorpodetextoChar"/>
    <w:uiPriority w:val="99"/>
    <w:rsid w:val="00BA3D6B"/>
    <w:pPr>
      <w:spacing w:after="120"/>
    </w:pPr>
  </w:style>
  <w:style w:type="character" w:customStyle="1" w:styleId="CorpodetextoChar">
    <w:name w:val="Corpo de texto Char"/>
    <w:link w:val="Corpodetexto"/>
    <w:uiPriority w:val="99"/>
    <w:rsid w:val="00BA3D6B"/>
    <w:rPr>
      <w:rFonts w:ascii="Book Antiqua" w:hAnsi="Book Antiqua"/>
      <w:sz w:val="24"/>
      <w:szCs w:val="24"/>
    </w:rPr>
  </w:style>
  <w:style w:type="paragraph" w:styleId="Corpodetexto3">
    <w:name w:val="Body Text 3"/>
    <w:basedOn w:val="Normal"/>
    <w:link w:val="Corpodetexto3Char"/>
    <w:rsid w:val="00A8243A"/>
    <w:pPr>
      <w:spacing w:after="120"/>
    </w:pPr>
    <w:rPr>
      <w:sz w:val="16"/>
      <w:szCs w:val="16"/>
    </w:rPr>
  </w:style>
  <w:style w:type="character" w:customStyle="1" w:styleId="Corpodetexto3Char">
    <w:name w:val="Corpo de texto 3 Char"/>
    <w:link w:val="Corpodetexto3"/>
    <w:rsid w:val="00A8243A"/>
    <w:rPr>
      <w:rFonts w:ascii="Book Antiqua" w:hAnsi="Book Antiqua"/>
      <w:sz w:val="16"/>
      <w:szCs w:val="16"/>
    </w:rPr>
  </w:style>
  <w:style w:type="paragraph" w:styleId="Textoembloco">
    <w:name w:val="Block Text"/>
    <w:basedOn w:val="Normal"/>
    <w:unhideWhenUsed/>
    <w:rsid w:val="00A8243A"/>
    <w:pPr>
      <w:ind w:left="4536" w:right="-313"/>
      <w:jc w:val="both"/>
    </w:pPr>
    <w:rPr>
      <w:rFonts w:ascii="Times New Roman" w:hAnsi="Times New Roman"/>
      <w:b/>
      <w:sz w:val="22"/>
      <w:szCs w:val="20"/>
    </w:rPr>
  </w:style>
  <w:style w:type="paragraph" w:styleId="TextosemFormatao">
    <w:name w:val="Plain Text"/>
    <w:basedOn w:val="Normal"/>
    <w:link w:val="TextosemFormataoChar"/>
    <w:unhideWhenUsed/>
    <w:rsid w:val="004E67ED"/>
    <w:rPr>
      <w:rFonts w:ascii="Courier New" w:hAnsi="Courier New"/>
      <w:sz w:val="20"/>
      <w:szCs w:val="20"/>
    </w:rPr>
  </w:style>
  <w:style w:type="character" w:customStyle="1" w:styleId="TextosemFormataoChar">
    <w:name w:val="Texto sem Formatação Char"/>
    <w:link w:val="TextosemFormatao"/>
    <w:rsid w:val="004E67ED"/>
    <w:rPr>
      <w:rFonts w:ascii="Courier New" w:hAnsi="Courier New"/>
    </w:rPr>
  </w:style>
  <w:style w:type="character" w:customStyle="1" w:styleId="highlightedsearchterm">
    <w:name w:val="highlightedsearchterm"/>
    <w:rsid w:val="005A25B3"/>
  </w:style>
  <w:style w:type="character" w:customStyle="1" w:styleId="Ttulo3Char">
    <w:name w:val="Título 3 Char"/>
    <w:link w:val="Ttulo3"/>
    <w:semiHidden/>
    <w:rsid w:val="00C83056"/>
    <w:rPr>
      <w:rFonts w:ascii="Calibri Light" w:eastAsia="Times New Roman" w:hAnsi="Calibri Light" w:cs="Times New Roman"/>
      <w:b/>
      <w:bCs/>
      <w:sz w:val="26"/>
      <w:szCs w:val="26"/>
    </w:rPr>
  </w:style>
  <w:style w:type="paragraph" w:styleId="Corpodetexto2">
    <w:name w:val="Body Text 2"/>
    <w:basedOn w:val="Normal"/>
    <w:link w:val="Corpodetexto2Char"/>
    <w:rsid w:val="00C83056"/>
    <w:pPr>
      <w:spacing w:after="120" w:line="480" w:lineRule="auto"/>
    </w:pPr>
  </w:style>
  <w:style w:type="character" w:customStyle="1" w:styleId="Corpodetexto2Char">
    <w:name w:val="Corpo de texto 2 Char"/>
    <w:link w:val="Corpodetexto2"/>
    <w:rsid w:val="00C83056"/>
    <w:rPr>
      <w:rFonts w:ascii="Book Antiqua" w:hAnsi="Book Antiqua"/>
      <w:sz w:val="24"/>
      <w:szCs w:val="24"/>
    </w:rPr>
  </w:style>
  <w:style w:type="table" w:styleId="Tabelacomgrade">
    <w:name w:val="Table Grid"/>
    <w:basedOn w:val="Tabelanormal"/>
    <w:uiPriority w:val="59"/>
    <w:rsid w:val="00E93C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65482"/>
    <w:pPr>
      <w:spacing w:before="120" w:after="120" w:line="360" w:lineRule="auto"/>
      <w:ind w:firstLine="567"/>
      <w:jc w:val="both"/>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iPriority="99"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paragraph" w:styleId="Ttulo3">
    <w:name w:val="heading 3"/>
    <w:basedOn w:val="Normal"/>
    <w:next w:val="Normal"/>
    <w:link w:val="Ttulo3Char"/>
    <w:semiHidden/>
    <w:unhideWhenUsed/>
    <w:qFormat/>
    <w:rsid w:val="00C8305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semiHidden/>
    <w:unhideWhenUsed/>
    <w:qFormat/>
    <w:rsid w:val="00613D8B"/>
    <w:pPr>
      <w:keepNext/>
      <w:ind w:left="2925" w:right="-398"/>
      <w:jc w:val="both"/>
      <w:outlineLvl w:val="4"/>
    </w:pPr>
    <w:rPr>
      <w:rFonts w:ascii="Graphite Light ATT" w:hAnsi="Graphite Light ATT"/>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023CD0"/>
    <w:rPr>
      <w:rFonts w:ascii="Tahoma" w:hAnsi="Tahoma" w:cs="Tahoma"/>
      <w:sz w:val="16"/>
      <w:szCs w:val="16"/>
    </w:rPr>
  </w:style>
  <w:style w:type="paragraph" w:styleId="Recuodecorpodetexto">
    <w:name w:val="Body Text Indent"/>
    <w:basedOn w:val="Normal"/>
    <w:link w:val="RecuodecorpodetextoChar"/>
    <w:rsid w:val="00B12359"/>
    <w:pPr>
      <w:spacing w:after="120"/>
      <w:ind w:left="283"/>
    </w:pPr>
    <w:rPr>
      <w:rFonts w:ascii="Times New Roman" w:hAnsi="Times New Roman"/>
      <w:b/>
      <w:sz w:val="22"/>
      <w:szCs w:val="20"/>
    </w:rPr>
  </w:style>
  <w:style w:type="character" w:styleId="Hyperlink">
    <w:name w:val="Hyperlink"/>
    <w:rsid w:val="006C03AA"/>
    <w:rPr>
      <w:color w:val="0000FF"/>
      <w:u w:val="single"/>
    </w:rPr>
  </w:style>
  <w:style w:type="paragraph" w:styleId="Cabealho">
    <w:name w:val="header"/>
    <w:basedOn w:val="Normal"/>
    <w:link w:val="CabealhoChar"/>
    <w:uiPriority w:val="99"/>
    <w:rsid w:val="009F11A6"/>
    <w:pPr>
      <w:tabs>
        <w:tab w:val="center" w:pos="4252"/>
        <w:tab w:val="right" w:pos="8504"/>
      </w:tabs>
    </w:pPr>
  </w:style>
  <w:style w:type="character" w:customStyle="1" w:styleId="CabealhoChar">
    <w:name w:val="Cabeçalho Char"/>
    <w:link w:val="Cabealho"/>
    <w:uiPriority w:val="99"/>
    <w:rsid w:val="009F11A6"/>
    <w:rPr>
      <w:rFonts w:ascii="Book Antiqua" w:hAnsi="Book Antiqua"/>
      <w:sz w:val="24"/>
      <w:szCs w:val="24"/>
    </w:rPr>
  </w:style>
  <w:style w:type="paragraph" w:styleId="Rodap">
    <w:name w:val="footer"/>
    <w:basedOn w:val="Normal"/>
    <w:link w:val="RodapChar"/>
    <w:rsid w:val="009F11A6"/>
    <w:pPr>
      <w:tabs>
        <w:tab w:val="center" w:pos="4252"/>
        <w:tab w:val="right" w:pos="8504"/>
      </w:tabs>
    </w:pPr>
  </w:style>
  <w:style w:type="character" w:customStyle="1" w:styleId="RodapChar">
    <w:name w:val="Rodapé Char"/>
    <w:link w:val="Rodap"/>
    <w:rsid w:val="009F11A6"/>
    <w:rPr>
      <w:rFonts w:ascii="Book Antiqua" w:hAnsi="Book Antiqua"/>
      <w:sz w:val="24"/>
      <w:szCs w:val="24"/>
    </w:rPr>
  </w:style>
  <w:style w:type="paragraph" w:styleId="SemEspaamento">
    <w:name w:val="No Spacing"/>
    <w:uiPriority w:val="1"/>
    <w:qFormat/>
    <w:rsid w:val="00A93BA0"/>
    <w:rPr>
      <w:rFonts w:ascii="Book Antiqua" w:hAnsi="Book Antiqua"/>
      <w:sz w:val="24"/>
      <w:szCs w:val="24"/>
    </w:rPr>
  </w:style>
  <w:style w:type="character" w:styleId="Forte">
    <w:name w:val="Strong"/>
    <w:qFormat/>
    <w:rsid w:val="00C90D4B"/>
    <w:rPr>
      <w:b/>
      <w:bCs/>
    </w:rPr>
  </w:style>
  <w:style w:type="character" w:customStyle="1" w:styleId="RecuodecorpodetextoChar">
    <w:name w:val="Recuo de corpo de texto Char"/>
    <w:link w:val="Recuodecorpodetexto"/>
    <w:rsid w:val="00DF1ED0"/>
    <w:rPr>
      <w:b/>
      <w:sz w:val="22"/>
    </w:rPr>
  </w:style>
  <w:style w:type="character" w:customStyle="1" w:styleId="Ttulo5Char">
    <w:name w:val="Título 5 Char"/>
    <w:link w:val="Ttulo5"/>
    <w:semiHidden/>
    <w:rsid w:val="00613D8B"/>
    <w:rPr>
      <w:rFonts w:ascii="Graphite Light ATT" w:hAnsi="Graphite Light ATT"/>
      <w:b/>
      <w:bCs/>
    </w:rPr>
  </w:style>
  <w:style w:type="paragraph" w:customStyle="1" w:styleId="Default">
    <w:name w:val="Default"/>
    <w:basedOn w:val="Normal"/>
    <w:rsid w:val="004F4BBB"/>
    <w:pPr>
      <w:suppressAutoHyphens/>
      <w:autoSpaceDE w:val="0"/>
    </w:pPr>
    <w:rPr>
      <w:rFonts w:ascii="CEKEFP+TimesNewRoman" w:eastAsia="CEKEFP+TimesNewRoman" w:hAnsi="CEKEFP+TimesNewRoman" w:cs="CEKEFP+TimesNewRoman"/>
      <w:color w:val="000000"/>
      <w:lang w:eastAsia="hi-IN" w:bidi="hi-IN"/>
    </w:rPr>
  </w:style>
  <w:style w:type="paragraph" w:styleId="Recuodecorpodetexto2">
    <w:name w:val="Body Text Indent 2"/>
    <w:basedOn w:val="Normal"/>
    <w:link w:val="Recuodecorpodetexto2Char"/>
    <w:unhideWhenUsed/>
    <w:rsid w:val="00675AAD"/>
    <w:pPr>
      <w:spacing w:after="120" w:line="480" w:lineRule="auto"/>
      <w:ind w:left="283"/>
    </w:pPr>
  </w:style>
  <w:style w:type="character" w:customStyle="1" w:styleId="Recuodecorpodetexto2Char">
    <w:name w:val="Recuo de corpo de texto 2 Char"/>
    <w:link w:val="Recuodecorpodetexto2"/>
    <w:rsid w:val="00675AAD"/>
    <w:rPr>
      <w:rFonts w:ascii="Book Antiqua" w:hAnsi="Book Antiqua"/>
      <w:sz w:val="24"/>
      <w:szCs w:val="24"/>
    </w:rPr>
  </w:style>
  <w:style w:type="paragraph" w:styleId="Recuodecorpodetexto3">
    <w:name w:val="Body Text Indent 3"/>
    <w:basedOn w:val="Normal"/>
    <w:link w:val="Recuodecorpodetexto3Char"/>
    <w:unhideWhenUsed/>
    <w:rsid w:val="00675AAD"/>
    <w:pPr>
      <w:spacing w:after="120"/>
      <w:ind w:left="283"/>
    </w:pPr>
    <w:rPr>
      <w:sz w:val="16"/>
      <w:szCs w:val="16"/>
    </w:rPr>
  </w:style>
  <w:style w:type="character" w:customStyle="1" w:styleId="Recuodecorpodetexto3Char">
    <w:name w:val="Recuo de corpo de texto 3 Char"/>
    <w:link w:val="Recuodecorpodetexto3"/>
    <w:rsid w:val="00675AAD"/>
    <w:rPr>
      <w:rFonts w:ascii="Book Antiqua" w:hAnsi="Book Antiqua"/>
      <w:sz w:val="16"/>
      <w:szCs w:val="16"/>
    </w:rPr>
  </w:style>
  <w:style w:type="paragraph" w:styleId="Corpodetexto">
    <w:name w:val="Body Text"/>
    <w:basedOn w:val="Normal"/>
    <w:link w:val="CorpodetextoChar"/>
    <w:uiPriority w:val="99"/>
    <w:rsid w:val="00BA3D6B"/>
    <w:pPr>
      <w:spacing w:after="120"/>
    </w:pPr>
  </w:style>
  <w:style w:type="character" w:customStyle="1" w:styleId="CorpodetextoChar">
    <w:name w:val="Corpo de texto Char"/>
    <w:link w:val="Corpodetexto"/>
    <w:uiPriority w:val="99"/>
    <w:rsid w:val="00BA3D6B"/>
    <w:rPr>
      <w:rFonts w:ascii="Book Antiqua" w:hAnsi="Book Antiqua"/>
      <w:sz w:val="24"/>
      <w:szCs w:val="24"/>
    </w:rPr>
  </w:style>
  <w:style w:type="paragraph" w:styleId="Corpodetexto3">
    <w:name w:val="Body Text 3"/>
    <w:basedOn w:val="Normal"/>
    <w:link w:val="Corpodetexto3Char"/>
    <w:rsid w:val="00A8243A"/>
    <w:pPr>
      <w:spacing w:after="120"/>
    </w:pPr>
    <w:rPr>
      <w:sz w:val="16"/>
      <w:szCs w:val="16"/>
    </w:rPr>
  </w:style>
  <w:style w:type="character" w:customStyle="1" w:styleId="Corpodetexto3Char">
    <w:name w:val="Corpo de texto 3 Char"/>
    <w:link w:val="Corpodetexto3"/>
    <w:rsid w:val="00A8243A"/>
    <w:rPr>
      <w:rFonts w:ascii="Book Antiqua" w:hAnsi="Book Antiqua"/>
      <w:sz w:val="16"/>
      <w:szCs w:val="16"/>
    </w:rPr>
  </w:style>
  <w:style w:type="paragraph" w:styleId="Textoembloco">
    <w:name w:val="Block Text"/>
    <w:basedOn w:val="Normal"/>
    <w:unhideWhenUsed/>
    <w:rsid w:val="00A8243A"/>
    <w:pPr>
      <w:ind w:left="4536" w:right="-313"/>
      <w:jc w:val="both"/>
    </w:pPr>
    <w:rPr>
      <w:rFonts w:ascii="Times New Roman" w:hAnsi="Times New Roman"/>
      <w:b/>
      <w:sz w:val="22"/>
      <w:szCs w:val="20"/>
    </w:rPr>
  </w:style>
  <w:style w:type="paragraph" w:styleId="TextosemFormatao">
    <w:name w:val="Plain Text"/>
    <w:basedOn w:val="Normal"/>
    <w:link w:val="TextosemFormataoChar"/>
    <w:unhideWhenUsed/>
    <w:rsid w:val="004E67ED"/>
    <w:rPr>
      <w:rFonts w:ascii="Courier New" w:hAnsi="Courier New"/>
      <w:sz w:val="20"/>
      <w:szCs w:val="20"/>
    </w:rPr>
  </w:style>
  <w:style w:type="character" w:customStyle="1" w:styleId="TextosemFormataoChar">
    <w:name w:val="Texto sem Formatação Char"/>
    <w:link w:val="TextosemFormatao"/>
    <w:rsid w:val="004E67ED"/>
    <w:rPr>
      <w:rFonts w:ascii="Courier New" w:hAnsi="Courier New"/>
    </w:rPr>
  </w:style>
  <w:style w:type="character" w:customStyle="1" w:styleId="highlightedsearchterm">
    <w:name w:val="highlightedsearchterm"/>
    <w:rsid w:val="005A25B3"/>
  </w:style>
  <w:style w:type="character" w:customStyle="1" w:styleId="Ttulo3Char">
    <w:name w:val="Título 3 Char"/>
    <w:link w:val="Ttulo3"/>
    <w:semiHidden/>
    <w:rsid w:val="00C83056"/>
    <w:rPr>
      <w:rFonts w:ascii="Calibri Light" w:eastAsia="Times New Roman" w:hAnsi="Calibri Light" w:cs="Times New Roman"/>
      <w:b/>
      <w:bCs/>
      <w:sz w:val="26"/>
      <w:szCs w:val="26"/>
    </w:rPr>
  </w:style>
  <w:style w:type="paragraph" w:styleId="Corpodetexto2">
    <w:name w:val="Body Text 2"/>
    <w:basedOn w:val="Normal"/>
    <w:link w:val="Corpodetexto2Char"/>
    <w:rsid w:val="00C83056"/>
    <w:pPr>
      <w:spacing w:after="120" w:line="480" w:lineRule="auto"/>
    </w:pPr>
  </w:style>
  <w:style w:type="character" w:customStyle="1" w:styleId="Corpodetexto2Char">
    <w:name w:val="Corpo de texto 2 Char"/>
    <w:link w:val="Corpodetexto2"/>
    <w:rsid w:val="00C83056"/>
    <w:rPr>
      <w:rFonts w:ascii="Book Antiqua" w:hAnsi="Book Antiqua"/>
      <w:sz w:val="24"/>
      <w:szCs w:val="24"/>
    </w:rPr>
  </w:style>
  <w:style w:type="table" w:styleId="Tabelacomgrade">
    <w:name w:val="Table Grid"/>
    <w:basedOn w:val="Tabelanormal"/>
    <w:uiPriority w:val="59"/>
    <w:rsid w:val="00E93C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65482"/>
    <w:pPr>
      <w:spacing w:before="120" w:after="120" w:line="360" w:lineRule="auto"/>
      <w:ind w:firstLine="567"/>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7546">
      <w:bodyDiv w:val="1"/>
      <w:marLeft w:val="0"/>
      <w:marRight w:val="0"/>
      <w:marTop w:val="0"/>
      <w:marBottom w:val="0"/>
      <w:divBdr>
        <w:top w:val="none" w:sz="0" w:space="0" w:color="auto"/>
        <w:left w:val="none" w:sz="0" w:space="0" w:color="auto"/>
        <w:bottom w:val="none" w:sz="0" w:space="0" w:color="auto"/>
        <w:right w:val="none" w:sz="0" w:space="0" w:color="auto"/>
      </w:divBdr>
    </w:div>
    <w:div w:id="191109963">
      <w:bodyDiv w:val="1"/>
      <w:marLeft w:val="0"/>
      <w:marRight w:val="0"/>
      <w:marTop w:val="0"/>
      <w:marBottom w:val="0"/>
      <w:divBdr>
        <w:top w:val="none" w:sz="0" w:space="0" w:color="auto"/>
        <w:left w:val="none" w:sz="0" w:space="0" w:color="auto"/>
        <w:bottom w:val="none" w:sz="0" w:space="0" w:color="auto"/>
        <w:right w:val="none" w:sz="0" w:space="0" w:color="auto"/>
      </w:divBdr>
    </w:div>
    <w:div w:id="234366471">
      <w:bodyDiv w:val="1"/>
      <w:marLeft w:val="0"/>
      <w:marRight w:val="0"/>
      <w:marTop w:val="0"/>
      <w:marBottom w:val="0"/>
      <w:divBdr>
        <w:top w:val="none" w:sz="0" w:space="0" w:color="auto"/>
        <w:left w:val="none" w:sz="0" w:space="0" w:color="auto"/>
        <w:bottom w:val="none" w:sz="0" w:space="0" w:color="auto"/>
        <w:right w:val="none" w:sz="0" w:space="0" w:color="auto"/>
      </w:divBdr>
    </w:div>
    <w:div w:id="269817342">
      <w:bodyDiv w:val="1"/>
      <w:marLeft w:val="0"/>
      <w:marRight w:val="0"/>
      <w:marTop w:val="0"/>
      <w:marBottom w:val="0"/>
      <w:divBdr>
        <w:top w:val="none" w:sz="0" w:space="0" w:color="auto"/>
        <w:left w:val="none" w:sz="0" w:space="0" w:color="auto"/>
        <w:bottom w:val="none" w:sz="0" w:space="0" w:color="auto"/>
        <w:right w:val="none" w:sz="0" w:space="0" w:color="auto"/>
      </w:divBdr>
    </w:div>
    <w:div w:id="399720775">
      <w:bodyDiv w:val="1"/>
      <w:marLeft w:val="0"/>
      <w:marRight w:val="0"/>
      <w:marTop w:val="0"/>
      <w:marBottom w:val="0"/>
      <w:divBdr>
        <w:top w:val="none" w:sz="0" w:space="0" w:color="auto"/>
        <w:left w:val="none" w:sz="0" w:space="0" w:color="auto"/>
        <w:bottom w:val="none" w:sz="0" w:space="0" w:color="auto"/>
        <w:right w:val="none" w:sz="0" w:space="0" w:color="auto"/>
      </w:divBdr>
    </w:div>
    <w:div w:id="617486795">
      <w:bodyDiv w:val="1"/>
      <w:marLeft w:val="0"/>
      <w:marRight w:val="0"/>
      <w:marTop w:val="0"/>
      <w:marBottom w:val="0"/>
      <w:divBdr>
        <w:top w:val="none" w:sz="0" w:space="0" w:color="auto"/>
        <w:left w:val="none" w:sz="0" w:space="0" w:color="auto"/>
        <w:bottom w:val="none" w:sz="0" w:space="0" w:color="auto"/>
        <w:right w:val="none" w:sz="0" w:space="0" w:color="auto"/>
      </w:divBdr>
    </w:div>
    <w:div w:id="662313855">
      <w:bodyDiv w:val="1"/>
      <w:marLeft w:val="0"/>
      <w:marRight w:val="0"/>
      <w:marTop w:val="0"/>
      <w:marBottom w:val="0"/>
      <w:divBdr>
        <w:top w:val="none" w:sz="0" w:space="0" w:color="auto"/>
        <w:left w:val="none" w:sz="0" w:space="0" w:color="auto"/>
        <w:bottom w:val="none" w:sz="0" w:space="0" w:color="auto"/>
        <w:right w:val="none" w:sz="0" w:space="0" w:color="auto"/>
      </w:divBdr>
    </w:div>
    <w:div w:id="1153445900">
      <w:bodyDiv w:val="1"/>
      <w:marLeft w:val="0"/>
      <w:marRight w:val="0"/>
      <w:marTop w:val="0"/>
      <w:marBottom w:val="0"/>
      <w:divBdr>
        <w:top w:val="none" w:sz="0" w:space="0" w:color="auto"/>
        <w:left w:val="none" w:sz="0" w:space="0" w:color="auto"/>
        <w:bottom w:val="none" w:sz="0" w:space="0" w:color="auto"/>
        <w:right w:val="none" w:sz="0" w:space="0" w:color="auto"/>
      </w:divBdr>
    </w:div>
    <w:div w:id="1273828609">
      <w:bodyDiv w:val="1"/>
      <w:marLeft w:val="0"/>
      <w:marRight w:val="0"/>
      <w:marTop w:val="0"/>
      <w:marBottom w:val="0"/>
      <w:divBdr>
        <w:top w:val="none" w:sz="0" w:space="0" w:color="auto"/>
        <w:left w:val="none" w:sz="0" w:space="0" w:color="auto"/>
        <w:bottom w:val="none" w:sz="0" w:space="0" w:color="auto"/>
        <w:right w:val="none" w:sz="0" w:space="0" w:color="auto"/>
      </w:divBdr>
    </w:div>
    <w:div w:id="1390954458">
      <w:bodyDiv w:val="1"/>
      <w:marLeft w:val="0"/>
      <w:marRight w:val="0"/>
      <w:marTop w:val="0"/>
      <w:marBottom w:val="0"/>
      <w:divBdr>
        <w:top w:val="none" w:sz="0" w:space="0" w:color="auto"/>
        <w:left w:val="none" w:sz="0" w:space="0" w:color="auto"/>
        <w:bottom w:val="none" w:sz="0" w:space="0" w:color="auto"/>
        <w:right w:val="none" w:sz="0" w:space="0" w:color="auto"/>
      </w:divBdr>
    </w:div>
    <w:div w:id="1583294670">
      <w:bodyDiv w:val="1"/>
      <w:marLeft w:val="0"/>
      <w:marRight w:val="0"/>
      <w:marTop w:val="0"/>
      <w:marBottom w:val="0"/>
      <w:divBdr>
        <w:top w:val="none" w:sz="0" w:space="0" w:color="auto"/>
        <w:left w:val="none" w:sz="0" w:space="0" w:color="auto"/>
        <w:bottom w:val="none" w:sz="0" w:space="0" w:color="auto"/>
        <w:right w:val="none" w:sz="0" w:space="0" w:color="auto"/>
      </w:divBdr>
    </w:div>
    <w:div w:id="1727143979">
      <w:bodyDiv w:val="1"/>
      <w:marLeft w:val="0"/>
      <w:marRight w:val="0"/>
      <w:marTop w:val="0"/>
      <w:marBottom w:val="0"/>
      <w:divBdr>
        <w:top w:val="none" w:sz="0" w:space="0" w:color="auto"/>
        <w:left w:val="none" w:sz="0" w:space="0" w:color="auto"/>
        <w:bottom w:val="none" w:sz="0" w:space="0" w:color="auto"/>
        <w:right w:val="none" w:sz="0" w:space="0" w:color="auto"/>
      </w:divBdr>
    </w:div>
    <w:div w:id="1756392904">
      <w:bodyDiv w:val="1"/>
      <w:marLeft w:val="0"/>
      <w:marRight w:val="0"/>
      <w:marTop w:val="0"/>
      <w:marBottom w:val="0"/>
      <w:divBdr>
        <w:top w:val="none" w:sz="0" w:space="0" w:color="auto"/>
        <w:left w:val="none" w:sz="0" w:space="0" w:color="auto"/>
        <w:bottom w:val="none" w:sz="0" w:space="0" w:color="auto"/>
        <w:right w:val="none" w:sz="0" w:space="0" w:color="auto"/>
      </w:divBdr>
    </w:div>
    <w:div w:id="1870333892">
      <w:bodyDiv w:val="1"/>
      <w:marLeft w:val="0"/>
      <w:marRight w:val="0"/>
      <w:marTop w:val="0"/>
      <w:marBottom w:val="0"/>
      <w:divBdr>
        <w:top w:val="none" w:sz="0" w:space="0" w:color="auto"/>
        <w:left w:val="none" w:sz="0" w:space="0" w:color="auto"/>
        <w:bottom w:val="none" w:sz="0" w:space="0" w:color="auto"/>
        <w:right w:val="none" w:sz="0" w:space="0" w:color="auto"/>
      </w:divBdr>
    </w:div>
    <w:div w:id="1888255997">
      <w:bodyDiv w:val="1"/>
      <w:marLeft w:val="0"/>
      <w:marRight w:val="0"/>
      <w:marTop w:val="0"/>
      <w:marBottom w:val="0"/>
      <w:divBdr>
        <w:top w:val="none" w:sz="0" w:space="0" w:color="auto"/>
        <w:left w:val="none" w:sz="0" w:space="0" w:color="auto"/>
        <w:bottom w:val="none" w:sz="0" w:space="0" w:color="auto"/>
        <w:right w:val="none" w:sz="0" w:space="0" w:color="auto"/>
      </w:divBdr>
    </w:div>
    <w:div w:id="1983658567">
      <w:bodyDiv w:val="1"/>
      <w:marLeft w:val="0"/>
      <w:marRight w:val="0"/>
      <w:marTop w:val="0"/>
      <w:marBottom w:val="0"/>
      <w:divBdr>
        <w:top w:val="none" w:sz="0" w:space="0" w:color="auto"/>
        <w:left w:val="none" w:sz="0" w:space="0" w:color="auto"/>
        <w:bottom w:val="none" w:sz="0" w:space="0" w:color="auto"/>
        <w:right w:val="none" w:sz="0" w:space="0" w:color="auto"/>
      </w:divBdr>
    </w:div>
    <w:div w:id="2004507467">
      <w:bodyDiv w:val="1"/>
      <w:marLeft w:val="0"/>
      <w:marRight w:val="0"/>
      <w:marTop w:val="0"/>
      <w:marBottom w:val="0"/>
      <w:divBdr>
        <w:top w:val="none" w:sz="0" w:space="0" w:color="auto"/>
        <w:left w:val="none" w:sz="0" w:space="0" w:color="auto"/>
        <w:bottom w:val="none" w:sz="0" w:space="0" w:color="auto"/>
        <w:right w:val="none" w:sz="0" w:space="0" w:color="auto"/>
      </w:divBdr>
    </w:div>
    <w:div w:id="2011251053">
      <w:bodyDiv w:val="1"/>
      <w:marLeft w:val="0"/>
      <w:marRight w:val="0"/>
      <w:marTop w:val="0"/>
      <w:marBottom w:val="0"/>
      <w:divBdr>
        <w:top w:val="none" w:sz="0" w:space="0" w:color="auto"/>
        <w:left w:val="none" w:sz="0" w:space="0" w:color="auto"/>
        <w:bottom w:val="none" w:sz="0" w:space="0" w:color="auto"/>
        <w:right w:val="none" w:sz="0" w:space="0" w:color="auto"/>
      </w:divBdr>
    </w:div>
    <w:div w:id="2147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onomia.ig.com.br/2019-03-25/pib-2019-2020.html" TargetMode="External"/><Relationship Id="rId4" Type="http://schemas.microsoft.com/office/2007/relationships/stylesWithEffects" Target="stylesWithEffects.xml"/><Relationship Id="rId9" Type="http://schemas.openxmlformats.org/officeDocument/2006/relationships/hyperlink" Target="https://www.valor.com.br/brasil/6186129/bc-ve-inflacao-de-41-em-2019-e-de-4-em-202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20ADM\Desktop\LEIS%20MUNICIPAIS%202019\LEI%20MUNICIPAL%20N&#186;%202763-%20DA%20NOME%20A%20RUA%20DANILO%20VACAR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F871-D8E1-448B-B24D-4541223E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 MUNICIPAL Nº 2763- DA NOME A RUA DANILO VACARO</Template>
  <TotalTime>0</TotalTime>
  <Pages>37</Pages>
  <Words>11169</Words>
  <Characters>60315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São Valentim, 02 de julho de 2007</vt:lpstr>
    </vt:vector>
  </TitlesOfParts>
  <Company>home</Company>
  <LinksUpToDate>false</LinksUpToDate>
  <CharactersWithSpaces>71342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Valentim, 02 de julho de 2007</dc:title>
  <dc:creator>CRISTIANO ADM</dc:creator>
  <cp:lastModifiedBy>CRISTIANO ADM</cp:lastModifiedBy>
  <cp:revision>2</cp:revision>
  <cp:lastPrinted>2019-09-24T11:54:00Z</cp:lastPrinted>
  <dcterms:created xsi:type="dcterms:W3CDTF">2019-09-24T11:58:00Z</dcterms:created>
  <dcterms:modified xsi:type="dcterms:W3CDTF">2019-09-24T11:58:00Z</dcterms:modified>
</cp:coreProperties>
</file>